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AC275" w14:textId="4C88EADB" w:rsidR="00445860" w:rsidRPr="000C5297" w:rsidRDefault="000C5297" w:rsidP="000C5297">
      <w:pPr>
        <w:spacing w:after="0"/>
        <w:jc w:val="both"/>
        <w:rPr>
          <w:lang w:val="en-GB"/>
        </w:rPr>
      </w:pPr>
      <w:r w:rsidRPr="000C5297">
        <w:rPr>
          <w:lang w:val="en-GB"/>
        </w:rPr>
        <w:t>This thesis questions what the call for safety in entrepreneurial urban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planning and development might entail for the openness of public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space, and challenges contemporary approaches to measure unsafety.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The overarching theoretical framework draws on the Foucault</w:t>
      </w:r>
      <w:r w:rsidRPr="000C5297">
        <w:rPr>
          <w:lang w:val="en-GB"/>
        </w:rPr>
        <w:t>-</w:t>
      </w:r>
      <w:r w:rsidRPr="000C5297">
        <w:rPr>
          <w:lang w:val="en-GB"/>
        </w:rPr>
        <w:t>inspired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dispositif of safety: referring to a system of relations between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discursive and non-discursive elements through which people and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places can be disciplined and controlled, and access to public spaces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regulated. The thesis uses a case study-inspired design that, by using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the city of Sundsvall as an empirical case, aims to map out a dispositif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of safety and use it to criticise entrepreneurial urban planning and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development for restricting the openness of public space and enabling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exclusionary practices. The aim is addressed through four papers.</w:t>
      </w:r>
      <w:r w:rsidRPr="000C5297">
        <w:rPr>
          <w:lang w:val="en-GB"/>
        </w:rPr>
        <w:t xml:space="preserve"> </w:t>
      </w:r>
      <w:proofErr w:type="gramStart"/>
      <w:r w:rsidRPr="000C5297">
        <w:rPr>
          <w:lang w:val="en-GB"/>
        </w:rPr>
        <w:t>Paper</w:t>
      </w:r>
      <w:proofErr w:type="gramEnd"/>
      <w:r w:rsidRPr="000C5297">
        <w:rPr>
          <w:lang w:val="en-GB"/>
        </w:rPr>
        <w:t xml:space="preserve"> I traces how entrepreneurial practices have been implemented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in the planning and development of Sundsvall’s city centre. Papers II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and III critically investigate how the concepts of safety and inclusion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become intertwined with entrepreneurial values. More specifically,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they explore who Sundsvall’s city centre is made safe for, and what or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who poses a threat to this call. Paper IV problematises the way feelings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 xml:space="preserve">of safety traditionally </w:t>
      </w:r>
      <w:r w:rsidRPr="000C5297">
        <w:rPr>
          <w:lang w:val="en-GB"/>
        </w:rPr>
        <w:t>have</w:t>
      </w:r>
      <w:r w:rsidRPr="000C5297">
        <w:rPr>
          <w:lang w:val="en-GB"/>
        </w:rPr>
        <w:t xml:space="preserve"> been measured quantitatively and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introduces an intersectional quantitative approach to measure and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examine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feelings of (un)safety. A synthesised reading of the four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papers reveals the complex, often contradictory nature of public safety</w:t>
      </w:r>
      <w:r w:rsidRPr="000C5297">
        <w:rPr>
          <w:lang w:val="en-GB"/>
        </w:rPr>
        <w:t xml:space="preserve"> i</w:t>
      </w:r>
      <w:r w:rsidRPr="000C5297">
        <w:rPr>
          <w:lang w:val="en-GB"/>
        </w:rPr>
        <w:t>n entrepreneurial urban planning and development. Safety within the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dispositif of safety is depoliticised and commodified, and treated as a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neutral, technical or purely administrative concern rather than as a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subject of political debate. Hence, although safety is closely related to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inclusion, the findings demonstrate that planning and developing safe</w:t>
      </w:r>
      <w:r w:rsidRPr="000C5297">
        <w:rPr>
          <w:lang w:val="en-GB"/>
        </w:rPr>
        <w:t xml:space="preserve"> </w:t>
      </w:r>
      <w:r w:rsidRPr="000C5297">
        <w:rPr>
          <w:lang w:val="en-GB"/>
        </w:rPr>
        <w:t>public spaces in the entrepreneurial city neither challenges nor</w:t>
      </w:r>
      <w:r w:rsidRPr="000C5297">
        <w:rPr>
          <w:lang w:val="en-GB"/>
        </w:rPr>
        <w:t xml:space="preserve"> </w:t>
      </w:r>
      <w:proofErr w:type="gramStart"/>
      <w:r w:rsidRPr="000C5297">
        <w:rPr>
          <w:lang w:val="en-GB"/>
        </w:rPr>
        <w:t>changes</w:t>
      </w:r>
      <w:proofErr w:type="gramEnd"/>
      <w:r w:rsidRPr="000C5297">
        <w:rPr>
          <w:lang w:val="en-GB"/>
        </w:rPr>
        <w:t xml:space="preserve"> the normative order of public spaces.</w:t>
      </w:r>
    </w:p>
    <w:sectPr w:rsidR="00445860" w:rsidRPr="000C5297" w:rsidSect="00AC5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9FA0C" w14:textId="77777777" w:rsidR="006C12C0" w:rsidRDefault="006C12C0" w:rsidP="00E25647">
      <w:pPr>
        <w:spacing w:line="240" w:lineRule="auto"/>
      </w:pPr>
      <w:r>
        <w:separator/>
      </w:r>
    </w:p>
  </w:endnote>
  <w:endnote w:type="continuationSeparator" w:id="0">
    <w:p w14:paraId="628254AA" w14:textId="77777777" w:rsidR="006C12C0" w:rsidRDefault="006C12C0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1829C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7A9F4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C20DF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A24F1" w14:textId="77777777" w:rsidR="006C12C0" w:rsidRPr="001565B5" w:rsidRDefault="006C12C0" w:rsidP="001565B5">
      <w:pPr>
        <w:pStyle w:val="Sidfot"/>
      </w:pPr>
    </w:p>
  </w:footnote>
  <w:footnote w:type="continuationSeparator" w:id="0">
    <w:p w14:paraId="6D44B0E5" w14:textId="77777777" w:rsidR="006C12C0" w:rsidRDefault="006C12C0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2E4E3" w14:textId="77777777" w:rsidR="00AC5EF1" w:rsidRDefault="00AC5E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3AD82" w14:textId="77777777" w:rsidR="00AC5EF1" w:rsidRDefault="00AC5EF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1DADF" w14:textId="77777777" w:rsidR="00AC5EF1" w:rsidRDefault="00AC5E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55852940">
    <w:abstractNumId w:val="9"/>
  </w:num>
  <w:num w:numId="2" w16cid:durableId="1197038705">
    <w:abstractNumId w:val="8"/>
  </w:num>
  <w:num w:numId="3" w16cid:durableId="1387528855">
    <w:abstractNumId w:val="5"/>
  </w:num>
  <w:num w:numId="4" w16cid:durableId="2138376038">
    <w:abstractNumId w:val="4"/>
  </w:num>
  <w:num w:numId="5" w16cid:durableId="651759753">
    <w:abstractNumId w:val="9"/>
  </w:num>
  <w:num w:numId="6" w16cid:durableId="58329010">
    <w:abstractNumId w:val="3"/>
  </w:num>
  <w:num w:numId="7" w16cid:durableId="1124925609">
    <w:abstractNumId w:val="2"/>
  </w:num>
  <w:num w:numId="8" w16cid:durableId="388920922">
    <w:abstractNumId w:val="1"/>
  </w:num>
  <w:num w:numId="9" w16cid:durableId="733818553">
    <w:abstractNumId w:val="0"/>
  </w:num>
  <w:num w:numId="10" w16cid:durableId="1408189605">
    <w:abstractNumId w:val="7"/>
  </w:num>
  <w:num w:numId="11" w16cid:durableId="212549201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0"/>
    <w:rsid w:val="0000059E"/>
    <w:rsid w:val="00020939"/>
    <w:rsid w:val="00036ACA"/>
    <w:rsid w:val="000912EF"/>
    <w:rsid w:val="00093CE3"/>
    <w:rsid w:val="00096720"/>
    <w:rsid w:val="000A18A5"/>
    <w:rsid w:val="000C17F9"/>
    <w:rsid w:val="000C5297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25E13"/>
    <w:rsid w:val="0023308F"/>
    <w:rsid w:val="00240E7F"/>
    <w:rsid w:val="00256EC9"/>
    <w:rsid w:val="00257A1F"/>
    <w:rsid w:val="00270306"/>
    <w:rsid w:val="002872AF"/>
    <w:rsid w:val="0029770C"/>
    <w:rsid w:val="002A60A2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E7E99"/>
    <w:rsid w:val="003F115C"/>
    <w:rsid w:val="003F4840"/>
    <w:rsid w:val="004050F1"/>
    <w:rsid w:val="00413E88"/>
    <w:rsid w:val="00416052"/>
    <w:rsid w:val="00435683"/>
    <w:rsid w:val="00445860"/>
    <w:rsid w:val="0044747B"/>
    <w:rsid w:val="00474416"/>
    <w:rsid w:val="0047515C"/>
    <w:rsid w:val="00482434"/>
    <w:rsid w:val="004A50F6"/>
    <w:rsid w:val="00521985"/>
    <w:rsid w:val="00526960"/>
    <w:rsid w:val="00545972"/>
    <w:rsid w:val="005804DF"/>
    <w:rsid w:val="0058105A"/>
    <w:rsid w:val="005B1832"/>
    <w:rsid w:val="005D1F3E"/>
    <w:rsid w:val="005E3AF4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2C0"/>
    <w:rsid w:val="006C1D81"/>
    <w:rsid w:val="006E1485"/>
    <w:rsid w:val="006F7E5A"/>
    <w:rsid w:val="00710D48"/>
    <w:rsid w:val="007119E4"/>
    <w:rsid w:val="00715DD8"/>
    <w:rsid w:val="0072258C"/>
    <w:rsid w:val="007308DC"/>
    <w:rsid w:val="0073754A"/>
    <w:rsid w:val="00765DCC"/>
    <w:rsid w:val="007669AF"/>
    <w:rsid w:val="00776913"/>
    <w:rsid w:val="00781A86"/>
    <w:rsid w:val="00786CBC"/>
    <w:rsid w:val="00790808"/>
    <w:rsid w:val="00792F23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9722F"/>
    <w:rsid w:val="008B5138"/>
    <w:rsid w:val="008D0A08"/>
    <w:rsid w:val="008D2DF7"/>
    <w:rsid w:val="008E0586"/>
    <w:rsid w:val="008F3D28"/>
    <w:rsid w:val="009161BE"/>
    <w:rsid w:val="00937407"/>
    <w:rsid w:val="00952B2F"/>
    <w:rsid w:val="009604E0"/>
    <w:rsid w:val="00970E4C"/>
    <w:rsid w:val="00971A6A"/>
    <w:rsid w:val="00992047"/>
    <w:rsid w:val="009921E7"/>
    <w:rsid w:val="009A470D"/>
    <w:rsid w:val="009B454F"/>
    <w:rsid w:val="009B678E"/>
    <w:rsid w:val="009D59CA"/>
    <w:rsid w:val="009F7E8F"/>
    <w:rsid w:val="00A03753"/>
    <w:rsid w:val="00A526DB"/>
    <w:rsid w:val="00A55BE8"/>
    <w:rsid w:val="00A634D2"/>
    <w:rsid w:val="00A66AB8"/>
    <w:rsid w:val="00A91E79"/>
    <w:rsid w:val="00A94F83"/>
    <w:rsid w:val="00AB4043"/>
    <w:rsid w:val="00AB49A3"/>
    <w:rsid w:val="00AC5EF1"/>
    <w:rsid w:val="00AD31CF"/>
    <w:rsid w:val="00AD4A6E"/>
    <w:rsid w:val="00B00D17"/>
    <w:rsid w:val="00B13B81"/>
    <w:rsid w:val="00B16A65"/>
    <w:rsid w:val="00B302B0"/>
    <w:rsid w:val="00B957FF"/>
    <w:rsid w:val="00BA514F"/>
    <w:rsid w:val="00BA69B4"/>
    <w:rsid w:val="00BA7162"/>
    <w:rsid w:val="00BB315B"/>
    <w:rsid w:val="00BB4FBE"/>
    <w:rsid w:val="00BB7C98"/>
    <w:rsid w:val="00BC1655"/>
    <w:rsid w:val="00BD5F04"/>
    <w:rsid w:val="00C113D7"/>
    <w:rsid w:val="00C14A5B"/>
    <w:rsid w:val="00C36C4F"/>
    <w:rsid w:val="00C45C23"/>
    <w:rsid w:val="00C55325"/>
    <w:rsid w:val="00C56FAD"/>
    <w:rsid w:val="00C64039"/>
    <w:rsid w:val="00C82E48"/>
    <w:rsid w:val="00C833CC"/>
    <w:rsid w:val="00C83531"/>
    <w:rsid w:val="00CA346B"/>
    <w:rsid w:val="00CA70D8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678B"/>
    <w:rsid w:val="00E65FCD"/>
    <w:rsid w:val="00E90FF0"/>
    <w:rsid w:val="00E9221E"/>
    <w:rsid w:val="00E93E64"/>
    <w:rsid w:val="00EA634C"/>
    <w:rsid w:val="00EB27BF"/>
    <w:rsid w:val="00ED4855"/>
    <w:rsid w:val="00EE1A8D"/>
    <w:rsid w:val="00F218D1"/>
    <w:rsid w:val="00F22361"/>
    <w:rsid w:val="00F41105"/>
    <w:rsid w:val="00F44655"/>
    <w:rsid w:val="00F4475F"/>
    <w:rsid w:val="00F51470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7E9DB"/>
  <w15:chartTrackingRefBased/>
  <w15:docId w15:val="{C64A63E9-8838-4C6C-B5B6-FDF4A69C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E99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rsid w:val="006C1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1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1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1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12C0"/>
    <w:rPr>
      <w:rFonts w:eastAsiaTheme="majorEastAsia" w:cstheme="majorBidi"/>
      <w:i/>
      <w:iCs/>
      <w:color w:val="595959" w:themeColor="text1" w:themeTint="A6"/>
      <w:lang w:eastAsia="zh-TW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12C0"/>
    <w:rPr>
      <w:rFonts w:eastAsiaTheme="majorEastAsia" w:cstheme="majorBidi"/>
      <w:color w:val="595959" w:themeColor="text1" w:themeTint="A6"/>
      <w:lang w:eastAsia="zh-TW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12C0"/>
    <w:rPr>
      <w:rFonts w:eastAsiaTheme="majorEastAsia" w:cstheme="majorBidi"/>
      <w:i/>
      <w:iCs/>
      <w:color w:val="272727" w:themeColor="text1" w:themeTint="D8"/>
      <w:lang w:eastAsia="zh-TW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12C0"/>
    <w:rPr>
      <w:rFonts w:eastAsiaTheme="majorEastAsia" w:cstheme="majorBidi"/>
      <w:color w:val="272727" w:themeColor="text1" w:themeTint="D8"/>
      <w:lang w:eastAsia="zh-TW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6C12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C12C0"/>
    <w:rPr>
      <w:rFonts w:eastAsiaTheme="majorEastAsia" w:cstheme="majorBidi"/>
      <w:color w:val="595959" w:themeColor="text1" w:themeTint="A6"/>
      <w:spacing w:val="15"/>
      <w:sz w:val="28"/>
      <w:szCs w:val="28"/>
      <w:lang w:eastAsia="zh-TW"/>
    </w:rPr>
  </w:style>
  <w:style w:type="character" w:styleId="Starkbetoning">
    <w:name w:val="Intense Emphasis"/>
    <w:basedOn w:val="Standardstycketeckensnitt"/>
    <w:uiPriority w:val="21"/>
    <w:semiHidden/>
    <w:qFormat/>
    <w:rsid w:val="006C12C0"/>
    <w:rPr>
      <w:i/>
      <w:iCs/>
      <w:color w:val="00448A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C12C0"/>
    <w:pPr>
      <w:pBdr>
        <w:top w:val="single" w:sz="4" w:space="10" w:color="00448A" w:themeColor="accent1" w:themeShade="BF"/>
        <w:bottom w:val="single" w:sz="4" w:space="10" w:color="00448A" w:themeColor="accent1" w:themeShade="BF"/>
      </w:pBdr>
      <w:spacing w:before="360" w:after="360"/>
      <w:ind w:left="864" w:right="864"/>
      <w:jc w:val="center"/>
    </w:pPr>
    <w:rPr>
      <w:i/>
      <w:iCs/>
      <w:color w:val="00448A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C12C0"/>
    <w:rPr>
      <w:rFonts w:eastAsiaTheme="minorEastAsia"/>
      <w:i/>
      <w:iCs/>
      <w:color w:val="00448A" w:themeColor="accent1" w:themeShade="BF"/>
      <w:lang w:eastAsia="zh-TW"/>
    </w:rPr>
  </w:style>
  <w:style w:type="character" w:styleId="Starkreferens">
    <w:name w:val="Intense Reference"/>
    <w:basedOn w:val="Standardstycketeckensnitt"/>
    <w:uiPriority w:val="32"/>
    <w:semiHidden/>
    <w:qFormat/>
    <w:rsid w:val="006C12C0"/>
    <w:rPr>
      <w:b/>
      <w:bCs/>
      <w:smallCaps/>
      <w:color w:val="00448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Sjöberg</dc:creator>
  <cp:keywords/>
  <dc:description/>
  <cp:lastModifiedBy>Ida Sjöberg</cp:lastModifiedBy>
  <cp:revision>4</cp:revision>
  <cp:lastPrinted>2015-04-21T11:34:00Z</cp:lastPrinted>
  <dcterms:created xsi:type="dcterms:W3CDTF">2024-09-04T12:55:00Z</dcterms:created>
  <dcterms:modified xsi:type="dcterms:W3CDTF">2024-09-24T08:48:00Z</dcterms:modified>
</cp:coreProperties>
</file>