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E27EF" w14:textId="444ECA93" w:rsidR="0075126A" w:rsidRPr="00582005" w:rsidRDefault="00E7692A">
      <w:pPr>
        <w:rPr>
          <w:b/>
          <w:bCs/>
          <w:sz w:val="32"/>
          <w:szCs w:val="32"/>
          <w:lang w:val="en-US"/>
        </w:rPr>
      </w:pPr>
      <w:bookmarkStart w:id="0" w:name="_Hlk151129386"/>
      <w:r w:rsidRPr="00582005">
        <w:rPr>
          <w:b/>
          <w:bCs/>
          <w:sz w:val="32"/>
          <w:szCs w:val="32"/>
          <w:lang w:val="en-US"/>
        </w:rPr>
        <w:t xml:space="preserve">Expected retirement timing for older workers in eldercare – The importance of health, psychosocial </w:t>
      </w:r>
      <w:r w:rsidR="000811E7">
        <w:rPr>
          <w:b/>
          <w:bCs/>
          <w:sz w:val="32"/>
          <w:szCs w:val="32"/>
          <w:lang w:val="en-US"/>
        </w:rPr>
        <w:t xml:space="preserve">factors </w:t>
      </w:r>
      <w:r w:rsidRPr="00582005">
        <w:rPr>
          <w:b/>
          <w:bCs/>
          <w:sz w:val="32"/>
          <w:szCs w:val="32"/>
          <w:lang w:val="en-US"/>
        </w:rPr>
        <w:t xml:space="preserve">and </w:t>
      </w:r>
      <w:r w:rsidR="00FA3ACC">
        <w:rPr>
          <w:b/>
          <w:bCs/>
          <w:sz w:val="32"/>
          <w:szCs w:val="32"/>
          <w:lang w:val="en-US"/>
        </w:rPr>
        <w:t>family-</w:t>
      </w:r>
      <w:r w:rsidRPr="00582005">
        <w:rPr>
          <w:b/>
          <w:bCs/>
          <w:sz w:val="32"/>
          <w:szCs w:val="32"/>
          <w:lang w:val="en-US"/>
        </w:rPr>
        <w:t>work</w:t>
      </w:r>
      <w:r w:rsidR="00B772A5">
        <w:rPr>
          <w:b/>
          <w:bCs/>
          <w:sz w:val="32"/>
          <w:szCs w:val="32"/>
          <w:lang w:val="en-US"/>
        </w:rPr>
        <w:t xml:space="preserve"> conflict</w:t>
      </w:r>
      <w:r w:rsidR="005D2808">
        <w:rPr>
          <w:b/>
          <w:bCs/>
          <w:sz w:val="32"/>
          <w:szCs w:val="32"/>
          <w:lang w:val="en-US"/>
        </w:rPr>
        <w:t>.</w:t>
      </w:r>
    </w:p>
    <w:p w14:paraId="53F0EF45" w14:textId="77777777" w:rsidR="00222EDA" w:rsidRPr="00E40FB0" w:rsidRDefault="00222EDA">
      <w:pPr>
        <w:rPr>
          <w:lang w:val="en-US"/>
        </w:rPr>
      </w:pPr>
    </w:p>
    <w:bookmarkEnd w:id="0"/>
    <w:p w14:paraId="5D1819B5" w14:textId="2F1F7005" w:rsidR="00222EDA" w:rsidRDefault="00222EDA">
      <w:r w:rsidRPr="00222EDA">
        <w:t xml:space="preserve">Carolina Nordlinder, </w:t>
      </w:r>
      <w:r w:rsidR="002B27EE" w:rsidRPr="002B27EE">
        <w:t>H</w:t>
      </w:r>
      <w:r w:rsidR="00704773" w:rsidRPr="002B27EE">
        <w:t xml:space="preserve">ugo </w:t>
      </w:r>
      <w:r w:rsidR="00165835">
        <w:t>W</w:t>
      </w:r>
      <w:r w:rsidR="00704773" w:rsidRPr="002B27EE">
        <w:t>esterlund</w:t>
      </w:r>
      <w:r w:rsidR="00704773">
        <w:t xml:space="preserve">, </w:t>
      </w:r>
      <w:r w:rsidRPr="00222EDA">
        <w:t>Gunnar Bergstr</w:t>
      </w:r>
      <w:r w:rsidR="002B27EE">
        <w:t>ö</w:t>
      </w:r>
      <w:r w:rsidRPr="00222EDA">
        <w:t>m, Pia T</w:t>
      </w:r>
      <w:r>
        <w:t>ham, Peter Öberg</w:t>
      </w:r>
    </w:p>
    <w:p w14:paraId="009F2753" w14:textId="77777777" w:rsidR="00222EDA" w:rsidRDefault="00222EDA"/>
    <w:p w14:paraId="74B44436" w14:textId="77777777" w:rsidR="00222EDA" w:rsidRPr="00207535" w:rsidRDefault="00222EDA">
      <w:pPr>
        <w:ind w:left="567" w:right="953"/>
        <w:rPr>
          <w:rFonts w:cstheme="minorHAnsi"/>
          <w:b/>
          <w:bCs/>
          <w:lang w:val="en-US"/>
        </w:rPr>
      </w:pPr>
      <w:r w:rsidRPr="00207535">
        <w:rPr>
          <w:rFonts w:cstheme="minorHAnsi"/>
          <w:b/>
          <w:bCs/>
          <w:lang w:val="en-US"/>
        </w:rPr>
        <w:t>Abstract</w:t>
      </w:r>
    </w:p>
    <w:p w14:paraId="42A9BA23" w14:textId="67A9011A" w:rsidR="002E7932" w:rsidRPr="00223E95" w:rsidRDefault="002B27EE">
      <w:pPr>
        <w:ind w:left="567" w:right="953"/>
        <w:rPr>
          <w:rFonts w:cstheme="minorHAnsi"/>
          <w:lang w:val="en-US"/>
        </w:rPr>
      </w:pPr>
      <w:r>
        <w:rPr>
          <w:rFonts w:cstheme="minorHAnsi"/>
          <w:lang w:val="en-US"/>
        </w:rPr>
        <w:t>To</w:t>
      </w:r>
      <w:r w:rsidR="009051EF" w:rsidRPr="00223E95">
        <w:rPr>
          <w:rFonts w:cstheme="minorHAnsi"/>
          <w:lang w:val="en-US"/>
        </w:rPr>
        <w:t xml:space="preserve"> </w:t>
      </w:r>
      <w:r w:rsidR="00D945F0" w:rsidRPr="00223E95">
        <w:rPr>
          <w:rFonts w:cstheme="minorHAnsi"/>
          <w:lang w:val="en-US"/>
        </w:rPr>
        <w:t xml:space="preserve">address the challenges with </w:t>
      </w:r>
      <w:r w:rsidR="009051EF" w:rsidRPr="00223E95">
        <w:rPr>
          <w:rFonts w:cstheme="minorHAnsi"/>
          <w:lang w:val="en-US"/>
        </w:rPr>
        <w:t>labor market shortage</w:t>
      </w:r>
      <w:r w:rsidR="009848F7">
        <w:rPr>
          <w:rFonts w:cstheme="minorHAnsi"/>
          <w:lang w:val="en-US"/>
        </w:rPr>
        <w:t xml:space="preserve"> </w:t>
      </w:r>
      <w:r w:rsidR="009848F7" w:rsidRPr="00223E95">
        <w:rPr>
          <w:rFonts w:cstheme="minorHAnsi"/>
          <w:lang w:val="en-US"/>
        </w:rPr>
        <w:t>in eldercare</w:t>
      </w:r>
      <w:r w:rsidR="009051EF">
        <w:rPr>
          <w:rFonts w:cstheme="minorHAnsi"/>
          <w:lang w:val="en-US"/>
        </w:rPr>
        <w:t xml:space="preserve">, </w:t>
      </w:r>
      <w:r w:rsidR="00D945F0" w:rsidRPr="00223E95">
        <w:rPr>
          <w:rFonts w:cstheme="minorHAnsi"/>
          <w:lang w:val="en-US"/>
        </w:rPr>
        <w:t>increased retirement ages and extended working life</w:t>
      </w:r>
      <w:r w:rsidR="009051EF">
        <w:rPr>
          <w:rFonts w:cstheme="minorHAnsi"/>
          <w:lang w:val="en-US"/>
        </w:rPr>
        <w:t xml:space="preserve"> among older workers</w:t>
      </w:r>
      <w:r w:rsidR="00CF2C57">
        <w:rPr>
          <w:rFonts w:cstheme="minorHAnsi"/>
          <w:lang w:val="en-US"/>
        </w:rPr>
        <w:t xml:space="preserve"> is a governmental intention</w:t>
      </w:r>
      <w:r w:rsidR="00D945F0" w:rsidRPr="00223E95">
        <w:rPr>
          <w:rFonts w:cstheme="minorHAnsi"/>
          <w:lang w:val="en-US"/>
        </w:rPr>
        <w:t xml:space="preserve">. </w:t>
      </w:r>
      <w:r w:rsidR="009848F7">
        <w:rPr>
          <w:rFonts w:cstheme="minorHAnsi"/>
          <w:lang w:val="en-US"/>
        </w:rPr>
        <w:t>The aim of t</w:t>
      </w:r>
      <w:r w:rsidR="00222EDA" w:rsidRPr="00223E95">
        <w:rPr>
          <w:rFonts w:cstheme="minorHAnsi"/>
          <w:lang w:val="en-US"/>
        </w:rPr>
        <w:t xml:space="preserve">his cross-sectional study </w:t>
      </w:r>
      <w:r w:rsidR="009848F7">
        <w:rPr>
          <w:rFonts w:cstheme="minorHAnsi"/>
          <w:lang w:val="en-US"/>
        </w:rPr>
        <w:t>is</w:t>
      </w:r>
      <w:r w:rsidR="00222EDA" w:rsidRPr="00223E95">
        <w:rPr>
          <w:rFonts w:cstheme="minorHAnsi"/>
          <w:lang w:val="en-US"/>
        </w:rPr>
        <w:t xml:space="preserve"> to identify health, psychosocial</w:t>
      </w:r>
      <w:r w:rsidR="00D02DA2">
        <w:rPr>
          <w:rFonts w:cstheme="minorHAnsi"/>
          <w:lang w:val="en-US"/>
        </w:rPr>
        <w:t>,</w:t>
      </w:r>
      <w:r w:rsidR="00222EDA" w:rsidRPr="00223E95">
        <w:rPr>
          <w:rFonts w:cstheme="minorHAnsi"/>
          <w:lang w:val="en-US"/>
        </w:rPr>
        <w:t xml:space="preserve"> and </w:t>
      </w:r>
      <w:r w:rsidR="00FA3ACC">
        <w:rPr>
          <w:rFonts w:cstheme="minorHAnsi"/>
          <w:lang w:val="en-US"/>
        </w:rPr>
        <w:t>family-</w:t>
      </w:r>
      <w:r w:rsidR="00222EDA" w:rsidRPr="00223E95">
        <w:rPr>
          <w:rFonts w:cstheme="minorHAnsi"/>
          <w:lang w:val="en-US"/>
        </w:rPr>
        <w:t>work</w:t>
      </w:r>
      <w:r w:rsidR="009051EF">
        <w:rPr>
          <w:rFonts w:cstheme="minorHAnsi"/>
          <w:lang w:val="en-US"/>
        </w:rPr>
        <w:t xml:space="preserve"> </w:t>
      </w:r>
      <w:r w:rsidR="00B772A5">
        <w:rPr>
          <w:rFonts w:cstheme="minorHAnsi"/>
          <w:lang w:val="en-US"/>
        </w:rPr>
        <w:t>conflict</w:t>
      </w:r>
      <w:r w:rsidR="00222EDA" w:rsidRPr="00223E95">
        <w:rPr>
          <w:rFonts w:cstheme="minorHAnsi"/>
          <w:lang w:val="en-US"/>
        </w:rPr>
        <w:t xml:space="preserve"> </w:t>
      </w:r>
      <w:r w:rsidR="009848F7">
        <w:rPr>
          <w:rFonts w:cstheme="minorHAnsi"/>
          <w:lang w:val="en-US"/>
        </w:rPr>
        <w:t>factors</w:t>
      </w:r>
      <w:r w:rsidR="009848F7" w:rsidRPr="00223E95">
        <w:rPr>
          <w:rFonts w:cstheme="minorHAnsi"/>
          <w:lang w:val="en-US"/>
        </w:rPr>
        <w:t xml:space="preserve"> </w:t>
      </w:r>
      <w:r w:rsidR="00222EDA" w:rsidRPr="00223E95">
        <w:rPr>
          <w:rFonts w:cstheme="minorHAnsi"/>
          <w:lang w:val="en-US"/>
        </w:rPr>
        <w:t>associated with</w:t>
      </w:r>
      <w:r w:rsidR="009848F7">
        <w:rPr>
          <w:rFonts w:cstheme="minorHAnsi"/>
          <w:lang w:val="en-US"/>
        </w:rPr>
        <w:t xml:space="preserve"> </w:t>
      </w:r>
      <w:r w:rsidR="009848F7" w:rsidRPr="00223E95">
        <w:rPr>
          <w:rFonts w:cstheme="minorHAnsi"/>
          <w:lang w:val="en-US"/>
        </w:rPr>
        <w:t>expected retirement timing</w:t>
      </w:r>
      <w:r w:rsidR="009848F7">
        <w:rPr>
          <w:rFonts w:cstheme="minorHAnsi"/>
          <w:lang w:val="en-US"/>
        </w:rPr>
        <w:t xml:space="preserve"> among</w:t>
      </w:r>
      <w:r w:rsidR="00222EDA" w:rsidRPr="00223E95">
        <w:rPr>
          <w:rFonts w:cstheme="minorHAnsi"/>
          <w:lang w:val="en-US"/>
        </w:rPr>
        <w:t xml:space="preserve"> Swedish </w:t>
      </w:r>
      <w:r w:rsidR="00D945F0" w:rsidRPr="00223E95">
        <w:rPr>
          <w:rFonts w:cstheme="minorHAnsi"/>
          <w:lang w:val="en-US"/>
        </w:rPr>
        <w:t xml:space="preserve">eldercare workers </w:t>
      </w:r>
      <w:r w:rsidR="009848F7">
        <w:rPr>
          <w:rFonts w:cstheme="minorHAnsi"/>
          <w:lang w:val="en-US"/>
        </w:rPr>
        <w:t xml:space="preserve">aged </w:t>
      </w:r>
      <w:r w:rsidR="00D945F0" w:rsidRPr="00223E95">
        <w:rPr>
          <w:rFonts w:cstheme="minorHAnsi"/>
          <w:lang w:val="en-US"/>
        </w:rPr>
        <w:t xml:space="preserve">45+. </w:t>
      </w:r>
      <w:r w:rsidR="00BA22E0" w:rsidRPr="00223E95">
        <w:rPr>
          <w:rFonts w:cstheme="minorHAnsi"/>
          <w:lang w:val="en-US"/>
        </w:rPr>
        <w:t>We use a</w:t>
      </w:r>
      <w:r w:rsidR="00080A49" w:rsidRPr="00223E95">
        <w:rPr>
          <w:rFonts w:cstheme="minorHAnsi"/>
          <w:lang w:val="en-US"/>
        </w:rPr>
        <w:t xml:space="preserve"> sample </w:t>
      </w:r>
      <w:r w:rsidR="009848F7">
        <w:rPr>
          <w:rFonts w:cstheme="minorHAnsi"/>
          <w:lang w:val="en-US"/>
        </w:rPr>
        <w:t>of</w:t>
      </w:r>
      <w:r w:rsidR="00080A49" w:rsidRPr="00223E95">
        <w:rPr>
          <w:rFonts w:cstheme="minorHAnsi"/>
          <w:lang w:val="en-US"/>
        </w:rPr>
        <w:t xml:space="preserve"> elder care workers </w:t>
      </w:r>
      <w:r w:rsidR="002E7932" w:rsidRPr="00223E95">
        <w:rPr>
          <w:rFonts w:cstheme="minorHAnsi"/>
          <w:lang w:val="en-US"/>
        </w:rPr>
        <w:t>aged 45</w:t>
      </w:r>
      <w:r w:rsidR="00F1547E">
        <w:rPr>
          <w:rFonts w:cstheme="minorHAnsi"/>
          <w:lang w:val="en-US"/>
        </w:rPr>
        <w:t>-74</w:t>
      </w:r>
      <w:r w:rsidR="009848F7">
        <w:rPr>
          <w:rFonts w:cstheme="minorHAnsi"/>
          <w:lang w:val="en-US"/>
        </w:rPr>
        <w:t xml:space="preserve"> (n=706)</w:t>
      </w:r>
      <w:r w:rsidR="002E7932" w:rsidRPr="00223E95">
        <w:rPr>
          <w:rFonts w:cstheme="minorHAnsi"/>
          <w:lang w:val="en-US"/>
        </w:rPr>
        <w:t xml:space="preserve"> from a representative Swedish </w:t>
      </w:r>
      <w:r w:rsidR="00BA22E0" w:rsidRPr="00223E95">
        <w:rPr>
          <w:rFonts w:cstheme="minorHAnsi"/>
          <w:lang w:val="en-US"/>
        </w:rPr>
        <w:t>study</w:t>
      </w:r>
      <w:r w:rsidR="003A1DB9">
        <w:rPr>
          <w:rFonts w:cstheme="minorHAnsi"/>
          <w:lang w:val="en-US"/>
        </w:rPr>
        <w:t xml:space="preserve"> </w:t>
      </w:r>
      <w:r w:rsidR="003A1DB9" w:rsidRPr="006C63ED">
        <w:rPr>
          <w:rFonts w:cstheme="minorHAnsi"/>
          <w:lang w:val="en-US"/>
        </w:rPr>
        <w:t>stratified</w:t>
      </w:r>
      <w:r w:rsidR="00CF2C57">
        <w:rPr>
          <w:rFonts w:cstheme="minorHAnsi"/>
          <w:lang w:val="en-US"/>
        </w:rPr>
        <w:t xml:space="preserve"> by occupation.</w:t>
      </w:r>
      <w:r w:rsidR="003A1DB9" w:rsidRPr="006C63ED">
        <w:rPr>
          <w:rFonts w:cstheme="minorHAnsi"/>
          <w:lang w:val="en-US"/>
        </w:rPr>
        <w:t xml:space="preserve"> </w:t>
      </w:r>
      <w:r w:rsidR="00BA22E0" w:rsidRPr="00223E95">
        <w:rPr>
          <w:rFonts w:cstheme="minorHAnsi"/>
          <w:lang w:val="en-US"/>
        </w:rPr>
        <w:t xml:space="preserve">Multivariate regression analyses suggested </w:t>
      </w:r>
      <w:r w:rsidR="00080A49" w:rsidRPr="00223E95">
        <w:rPr>
          <w:rFonts w:cstheme="minorHAnsi"/>
          <w:lang w:val="en-US"/>
        </w:rPr>
        <w:t xml:space="preserve">that </w:t>
      </w:r>
      <w:r w:rsidR="00BA22E0" w:rsidRPr="00223E95">
        <w:rPr>
          <w:rFonts w:cstheme="minorHAnsi"/>
          <w:lang w:val="en-US"/>
        </w:rPr>
        <w:t>expect</w:t>
      </w:r>
      <w:r w:rsidR="005C4C6A">
        <w:rPr>
          <w:rFonts w:cstheme="minorHAnsi"/>
          <w:lang w:val="en-US"/>
        </w:rPr>
        <w:t>ations</w:t>
      </w:r>
      <w:r w:rsidR="00BA22E0" w:rsidRPr="00223E95">
        <w:rPr>
          <w:rFonts w:cstheme="minorHAnsi"/>
          <w:lang w:val="en-US"/>
        </w:rPr>
        <w:t xml:space="preserve"> to </w:t>
      </w:r>
      <w:r w:rsidR="005C4C6A">
        <w:rPr>
          <w:rFonts w:cstheme="minorHAnsi"/>
          <w:lang w:val="en-US"/>
        </w:rPr>
        <w:t xml:space="preserve">either </w:t>
      </w:r>
      <w:r w:rsidR="00BA22E0" w:rsidRPr="00223E95">
        <w:rPr>
          <w:rFonts w:cstheme="minorHAnsi"/>
          <w:lang w:val="en-US"/>
        </w:rPr>
        <w:t>retire early (&lt;65)</w:t>
      </w:r>
      <w:r w:rsidR="005C4C6A">
        <w:rPr>
          <w:rFonts w:cstheme="minorHAnsi"/>
          <w:lang w:val="en-US"/>
        </w:rPr>
        <w:t xml:space="preserve"> or</w:t>
      </w:r>
      <w:r w:rsidR="00B772A5">
        <w:rPr>
          <w:rFonts w:cstheme="minorHAnsi"/>
          <w:lang w:val="en-US"/>
        </w:rPr>
        <w:t xml:space="preserve"> </w:t>
      </w:r>
      <w:r w:rsidR="00BA22E0" w:rsidRPr="00223E95">
        <w:rPr>
          <w:rFonts w:cstheme="minorHAnsi"/>
          <w:lang w:val="en-US"/>
        </w:rPr>
        <w:t>late (</w:t>
      </w:r>
      <w:r w:rsidR="0047753D">
        <w:rPr>
          <w:rFonts w:cstheme="minorHAnsi"/>
          <w:lang w:val="en-US"/>
        </w:rPr>
        <w:t>&gt;</w:t>
      </w:r>
      <w:r w:rsidR="00BA22E0" w:rsidRPr="00223E95">
        <w:rPr>
          <w:rFonts w:cstheme="minorHAnsi"/>
          <w:lang w:val="en-US"/>
        </w:rPr>
        <w:t xml:space="preserve">65) </w:t>
      </w:r>
      <w:r w:rsidR="005C4C6A">
        <w:rPr>
          <w:rFonts w:cstheme="minorHAnsi"/>
          <w:lang w:val="en-US"/>
        </w:rPr>
        <w:t xml:space="preserve">for elder care workers </w:t>
      </w:r>
      <w:r w:rsidR="00BA22E0" w:rsidRPr="00223E95">
        <w:rPr>
          <w:rFonts w:cstheme="minorHAnsi"/>
          <w:lang w:val="en-US"/>
        </w:rPr>
        <w:t>was associated with xxx</w:t>
      </w:r>
      <w:r w:rsidR="002E7932" w:rsidRPr="00223E95">
        <w:rPr>
          <w:rFonts w:cstheme="minorHAnsi"/>
          <w:lang w:val="en-US"/>
        </w:rPr>
        <w:t xml:space="preserve">. </w:t>
      </w:r>
      <w:r w:rsidR="00BA22E0" w:rsidRPr="00223E95">
        <w:rPr>
          <w:rFonts w:cstheme="minorHAnsi"/>
          <w:lang w:val="en-US"/>
        </w:rPr>
        <w:t>The main implication is XX. Th</w:t>
      </w:r>
      <w:r w:rsidR="00223E95">
        <w:rPr>
          <w:rFonts w:cstheme="minorHAnsi"/>
          <w:lang w:val="en-US"/>
        </w:rPr>
        <w:t>e</w:t>
      </w:r>
      <w:r w:rsidR="00BA22E0" w:rsidRPr="00223E95">
        <w:rPr>
          <w:rFonts w:cstheme="minorHAnsi"/>
          <w:lang w:val="en-US"/>
        </w:rPr>
        <w:t xml:space="preserve"> results give</w:t>
      </w:r>
      <w:r w:rsidR="00D02DA2">
        <w:rPr>
          <w:rFonts w:cstheme="minorHAnsi"/>
          <w:lang w:val="en-US"/>
        </w:rPr>
        <w:t xml:space="preserve"> us insights on </w:t>
      </w:r>
      <w:r w:rsidR="0047753D">
        <w:rPr>
          <w:rFonts w:cstheme="minorHAnsi"/>
          <w:lang w:val="en-US"/>
        </w:rPr>
        <w:t xml:space="preserve">potentials for </w:t>
      </w:r>
      <w:r w:rsidR="00D02DA2">
        <w:rPr>
          <w:rFonts w:cstheme="minorHAnsi"/>
          <w:lang w:val="en-US"/>
        </w:rPr>
        <w:t>facilitating</w:t>
      </w:r>
      <w:r w:rsidR="00BA22E0" w:rsidRPr="00223E95">
        <w:rPr>
          <w:rFonts w:cstheme="minorHAnsi"/>
          <w:lang w:val="en-US"/>
        </w:rPr>
        <w:t xml:space="preserve"> an extended working li</w:t>
      </w:r>
      <w:r w:rsidR="00D02DA2">
        <w:rPr>
          <w:rFonts w:cstheme="minorHAnsi"/>
          <w:lang w:val="en-US"/>
        </w:rPr>
        <w:t>f</w:t>
      </w:r>
      <w:r w:rsidR="00BA22E0" w:rsidRPr="00223E95">
        <w:rPr>
          <w:rFonts w:cstheme="minorHAnsi"/>
          <w:lang w:val="en-US"/>
        </w:rPr>
        <w:t xml:space="preserve">e among older elder care workers. </w:t>
      </w:r>
    </w:p>
    <w:p w14:paraId="0456B31A" w14:textId="77777777" w:rsidR="00BA22E0" w:rsidRPr="00223E95" w:rsidRDefault="00BA22E0">
      <w:pPr>
        <w:ind w:left="567" w:right="953"/>
        <w:rPr>
          <w:rFonts w:cstheme="minorHAnsi"/>
          <w:lang w:val="en-US"/>
        </w:rPr>
      </w:pPr>
    </w:p>
    <w:p w14:paraId="0D218C85" w14:textId="44831E29" w:rsidR="00BA22E0" w:rsidRPr="00223E95" w:rsidRDefault="00E27F02" w:rsidP="00E27F02">
      <w:pPr>
        <w:autoSpaceDE w:val="0"/>
        <w:autoSpaceDN w:val="0"/>
        <w:adjustRightInd w:val="0"/>
        <w:spacing w:after="0" w:line="240" w:lineRule="auto"/>
        <w:ind w:left="567" w:right="953"/>
        <w:rPr>
          <w:rFonts w:cstheme="minorHAnsi"/>
          <w:kern w:val="0"/>
          <w:lang w:val="en-US"/>
        </w:rPr>
      </w:pPr>
      <w:r w:rsidRPr="002A726E">
        <w:rPr>
          <w:rFonts w:cstheme="minorHAnsi"/>
          <w:b/>
          <w:bCs/>
          <w:kern w:val="0"/>
          <w:lang w:val="en-US"/>
        </w:rPr>
        <w:t>Keywords:</w:t>
      </w:r>
      <w:r w:rsidRPr="00223E95">
        <w:rPr>
          <w:rFonts w:cstheme="minorHAnsi"/>
          <w:kern w:val="0"/>
          <w:lang w:val="en-US"/>
        </w:rPr>
        <w:t xml:space="preserve"> retirement </w:t>
      </w:r>
      <w:r w:rsidR="00433E00">
        <w:rPr>
          <w:rFonts w:cstheme="minorHAnsi"/>
          <w:kern w:val="0"/>
          <w:lang w:val="en-US"/>
        </w:rPr>
        <w:t>timing</w:t>
      </w:r>
      <w:r w:rsidRPr="00223E95">
        <w:rPr>
          <w:rFonts w:cstheme="minorHAnsi"/>
          <w:kern w:val="0"/>
          <w:lang w:val="en-US"/>
        </w:rPr>
        <w:t xml:space="preserve">, older workers, </w:t>
      </w:r>
      <w:r w:rsidR="00433E00">
        <w:rPr>
          <w:rFonts w:cstheme="minorHAnsi"/>
          <w:kern w:val="0"/>
          <w:lang w:val="en-US"/>
        </w:rPr>
        <w:t>psychosocial factors, family</w:t>
      </w:r>
      <w:r w:rsidR="00FA3ACC">
        <w:rPr>
          <w:rFonts w:cstheme="minorHAnsi"/>
          <w:kern w:val="0"/>
          <w:lang w:val="en-US"/>
        </w:rPr>
        <w:t xml:space="preserve">-work </w:t>
      </w:r>
      <w:r w:rsidR="00433E00">
        <w:rPr>
          <w:rFonts w:cstheme="minorHAnsi"/>
          <w:kern w:val="0"/>
          <w:lang w:val="en-US"/>
        </w:rPr>
        <w:t>conflict</w:t>
      </w:r>
      <w:r w:rsidRPr="00223E95">
        <w:rPr>
          <w:rFonts w:cstheme="minorHAnsi"/>
          <w:kern w:val="0"/>
          <w:lang w:val="en-US"/>
        </w:rPr>
        <w:t xml:space="preserve">, </w:t>
      </w:r>
      <w:r w:rsidR="00433E00" w:rsidRPr="00223E95">
        <w:rPr>
          <w:rFonts w:cstheme="minorHAnsi"/>
          <w:kern w:val="0"/>
          <w:lang w:val="en-US"/>
        </w:rPr>
        <w:t>eldercare,</w:t>
      </w:r>
      <w:r w:rsidR="00433E00">
        <w:rPr>
          <w:rFonts w:cstheme="minorHAnsi"/>
          <w:kern w:val="0"/>
          <w:lang w:val="en-US"/>
        </w:rPr>
        <w:t xml:space="preserve"> </w:t>
      </w:r>
      <w:r w:rsidR="009658A5">
        <w:rPr>
          <w:rFonts w:cstheme="minorHAnsi"/>
          <w:kern w:val="0"/>
          <w:lang w:val="en-US"/>
        </w:rPr>
        <w:t>cross-sectional study</w:t>
      </w:r>
    </w:p>
    <w:p w14:paraId="0A4B6AAF" w14:textId="6B6B3186" w:rsidR="002A726E" w:rsidRDefault="002A726E">
      <w:pPr>
        <w:rPr>
          <w:rFonts w:cstheme="minorHAnsi"/>
          <w:kern w:val="0"/>
          <w:lang w:val="en-US"/>
        </w:rPr>
      </w:pPr>
      <w:r>
        <w:rPr>
          <w:rFonts w:cstheme="minorHAnsi"/>
          <w:kern w:val="0"/>
          <w:lang w:val="en-US"/>
        </w:rPr>
        <w:br w:type="page"/>
      </w:r>
    </w:p>
    <w:p w14:paraId="0A57D406" w14:textId="77777777" w:rsidR="009171E6" w:rsidRPr="00223E95" w:rsidRDefault="009171E6" w:rsidP="009171E6">
      <w:pPr>
        <w:rPr>
          <w:rFonts w:cstheme="minorHAnsi"/>
          <w:kern w:val="0"/>
          <w:lang w:val="en-US"/>
        </w:rPr>
      </w:pPr>
    </w:p>
    <w:p w14:paraId="5423377D" w14:textId="77777777" w:rsidR="00E27F02" w:rsidRPr="00AB3E39" w:rsidRDefault="00E27F02" w:rsidP="00E27F02">
      <w:pPr>
        <w:autoSpaceDE w:val="0"/>
        <w:autoSpaceDN w:val="0"/>
        <w:adjustRightInd w:val="0"/>
        <w:spacing w:after="0" w:line="240" w:lineRule="auto"/>
        <w:ind w:left="567" w:right="953"/>
        <w:rPr>
          <w:rFonts w:cstheme="minorHAnsi"/>
          <w:b/>
          <w:bCs/>
          <w:kern w:val="0"/>
          <w:sz w:val="28"/>
          <w:szCs w:val="28"/>
          <w:lang w:val="en-US"/>
        </w:rPr>
      </w:pPr>
      <w:r w:rsidRPr="00AB3E39">
        <w:rPr>
          <w:rFonts w:cstheme="minorHAnsi"/>
          <w:b/>
          <w:bCs/>
          <w:kern w:val="0"/>
          <w:sz w:val="28"/>
          <w:szCs w:val="28"/>
          <w:lang w:val="en-US"/>
        </w:rPr>
        <w:t>Introduction</w:t>
      </w:r>
    </w:p>
    <w:p w14:paraId="7DF8509C" w14:textId="173C079F" w:rsidR="0036686E" w:rsidRDefault="00F8624A" w:rsidP="00A84D48">
      <w:pPr>
        <w:autoSpaceDE w:val="0"/>
        <w:autoSpaceDN w:val="0"/>
        <w:adjustRightInd w:val="0"/>
        <w:spacing w:after="0" w:line="360" w:lineRule="auto"/>
        <w:ind w:left="567" w:right="953"/>
        <w:rPr>
          <w:rFonts w:cstheme="minorHAnsi"/>
          <w:kern w:val="0"/>
          <w:lang w:val="en-US"/>
        </w:rPr>
      </w:pPr>
      <w:r w:rsidRPr="00223E95">
        <w:rPr>
          <w:rFonts w:cstheme="minorHAnsi"/>
          <w:kern w:val="0"/>
          <w:lang w:val="en-US"/>
        </w:rPr>
        <w:t xml:space="preserve">Workforce shortage in eldercare is </w:t>
      </w:r>
      <w:r w:rsidR="00046CC4" w:rsidRPr="00223E95">
        <w:rPr>
          <w:rFonts w:cstheme="minorHAnsi"/>
          <w:kern w:val="0"/>
          <w:lang w:val="en-US"/>
        </w:rPr>
        <w:t>evident</w:t>
      </w:r>
      <w:r w:rsidR="00C05DD2" w:rsidRPr="00223E95">
        <w:rPr>
          <w:rFonts w:cstheme="minorHAnsi"/>
          <w:kern w:val="0"/>
          <w:lang w:val="en-US"/>
        </w:rPr>
        <w:t xml:space="preserve"> in </w:t>
      </w:r>
      <w:r w:rsidRPr="00223E95">
        <w:rPr>
          <w:rFonts w:cstheme="minorHAnsi"/>
          <w:kern w:val="0"/>
          <w:lang w:val="en-US"/>
        </w:rPr>
        <w:t>all OECD countries</w:t>
      </w:r>
      <w:r w:rsidR="00BC3E49">
        <w:rPr>
          <w:rFonts w:cstheme="minorHAnsi"/>
          <w:kern w:val="0"/>
          <w:lang w:val="en-US"/>
        </w:rPr>
        <w:t xml:space="preserve"> </w:t>
      </w:r>
      <w:r w:rsidR="00BC3E49">
        <w:rPr>
          <w:rFonts w:cstheme="minorHAnsi"/>
          <w:kern w:val="0"/>
          <w:lang w:val="en-US"/>
        </w:rPr>
        <w:fldChar w:fldCharType="begin" w:fldLock="1"/>
      </w:r>
      <w:r w:rsidR="008718D6">
        <w:rPr>
          <w:rFonts w:cstheme="minorHAnsi"/>
          <w:kern w:val="0"/>
          <w:lang w:val="en-US"/>
        </w:rPr>
        <w:instrText>ADDIN CSL_CITATION {"citationItems":[{"id":"ITEM-1","itemData":{"author":[{"dropping-particle":"","family":"OECD","given":"","non-dropping-particle":"","parse-names":false,"suffix":""}],"container-title":"https://www.oecd-ilibrary.org/sites/ae3016b9-en/1/3/10/8/index.html?itemId=/content/publication/ae3016b9-en&amp;_csp_=ca413da5d44587bc56446341952c275e&amp;itemIGO=oecd&amp;itemContentType=book&amp;_ga=2.256674699.1624705834.1636530976-344835335.1623674213 (Retrieved 2021","id":"ITEM-1","issued":{"date-parts":[["2021"]]},"title":"Health at a glance 2021: OECD indicators. Long-term care workers","type":"webpage"},"uris":["http://www.mendeley.com/documents/?uuid=014391b2-6d75-445f-b9e0-cdc7272f35ba"]}],"mendeley":{"formattedCitation":"(OECD, 2021)","plainTextFormattedCitation":"(OECD, 2021)","previouslyFormattedCitation":"(OECD, 2021)"},"properties":{"noteIndex":0},"schema":"https://github.com/citation-style-language/schema/raw/master/csl-citation.json"}</w:instrText>
      </w:r>
      <w:r w:rsidR="00BC3E49">
        <w:rPr>
          <w:rFonts w:cstheme="minorHAnsi"/>
          <w:kern w:val="0"/>
          <w:lang w:val="en-US"/>
        </w:rPr>
        <w:fldChar w:fldCharType="separate"/>
      </w:r>
      <w:r w:rsidR="00BC3E49" w:rsidRPr="00BC3E49">
        <w:rPr>
          <w:rFonts w:cstheme="minorHAnsi"/>
          <w:noProof/>
          <w:kern w:val="0"/>
          <w:lang w:val="en-US"/>
        </w:rPr>
        <w:t>(OECD, 2021)</w:t>
      </w:r>
      <w:r w:rsidR="00BC3E49">
        <w:rPr>
          <w:rFonts w:cstheme="minorHAnsi"/>
          <w:kern w:val="0"/>
          <w:lang w:val="en-US"/>
        </w:rPr>
        <w:fldChar w:fldCharType="end"/>
      </w:r>
      <w:r w:rsidRPr="00223E95">
        <w:rPr>
          <w:rFonts w:cstheme="minorHAnsi"/>
          <w:kern w:val="0"/>
          <w:lang w:val="en-US"/>
        </w:rPr>
        <w:t>, including Sweden</w:t>
      </w:r>
      <w:r w:rsidR="00BC3E49">
        <w:rPr>
          <w:rFonts w:cstheme="minorHAnsi"/>
          <w:kern w:val="0"/>
          <w:lang w:val="en-US"/>
        </w:rPr>
        <w:t xml:space="preserve"> </w:t>
      </w:r>
      <w:r w:rsidR="00BC3E49">
        <w:rPr>
          <w:rFonts w:cstheme="minorHAnsi"/>
          <w:kern w:val="0"/>
          <w:lang w:val="en-US"/>
        </w:rPr>
        <w:fldChar w:fldCharType="begin" w:fldLock="1"/>
      </w:r>
      <w:r w:rsidR="00BC3E49">
        <w:rPr>
          <w:rFonts w:cstheme="minorHAnsi"/>
          <w:kern w:val="0"/>
          <w:lang w:val="en-US"/>
        </w:rPr>
        <w:instrText>ADDIN CSL_CITATION {"citationItems":[{"id":"ITEM-1","itemData":{"ISBN":"9789175855493","author":[{"dropping-particle":"","family":"SKR","given":"","non-dropping-particle":"","parse-names":false,"suffix":""}],"id":"ITEM-1","issued":{"date-parts":[["2019"]]},"publisher":"Sveriges Kommuner och Regioner","publisher-place":"Stockholm","title":"Ekonomirapporten, oktober 2019. Om kommunernas och regionernas ekonomi.","type":"book"},"uris":["http://www.mendeley.com/documents/?uuid=0a36ebbe-d3e4-446c-b97f-c60a5a764f51"]}],"mendeley":{"formattedCitation":"(SKR, 2019)","plainTextFormattedCitation":"(SKR, 2019)","previouslyFormattedCitation":"(SKR, 2019)"},"properties":{"noteIndex":0},"schema":"https://github.com/citation-style-language/schema/raw/master/csl-citation.json"}</w:instrText>
      </w:r>
      <w:r w:rsidR="00BC3E49">
        <w:rPr>
          <w:rFonts w:cstheme="minorHAnsi"/>
          <w:kern w:val="0"/>
          <w:lang w:val="en-US"/>
        </w:rPr>
        <w:fldChar w:fldCharType="separate"/>
      </w:r>
      <w:r w:rsidR="00BC3E49" w:rsidRPr="00BC3E49">
        <w:rPr>
          <w:rFonts w:cstheme="minorHAnsi"/>
          <w:noProof/>
          <w:kern w:val="0"/>
          <w:lang w:val="en-US"/>
        </w:rPr>
        <w:t>(SKR, 2019)</w:t>
      </w:r>
      <w:r w:rsidR="00BC3E49">
        <w:rPr>
          <w:rFonts w:cstheme="minorHAnsi"/>
          <w:kern w:val="0"/>
          <w:lang w:val="en-US"/>
        </w:rPr>
        <w:fldChar w:fldCharType="end"/>
      </w:r>
      <w:r w:rsidRPr="00223E95">
        <w:rPr>
          <w:rFonts w:cstheme="minorHAnsi"/>
          <w:kern w:val="0"/>
          <w:lang w:val="en-US"/>
        </w:rPr>
        <w:t>. According to projections</w:t>
      </w:r>
      <w:r w:rsidR="00D02DA2">
        <w:rPr>
          <w:rFonts w:cstheme="minorHAnsi"/>
          <w:kern w:val="0"/>
          <w:lang w:val="en-US"/>
        </w:rPr>
        <w:t>,</w:t>
      </w:r>
      <w:r w:rsidRPr="00223E95">
        <w:rPr>
          <w:rFonts w:cstheme="minorHAnsi"/>
          <w:kern w:val="0"/>
          <w:lang w:val="en-US"/>
        </w:rPr>
        <w:t xml:space="preserve"> </w:t>
      </w:r>
      <w:r w:rsidR="00C42E08">
        <w:rPr>
          <w:rFonts w:cstheme="minorHAnsi"/>
          <w:kern w:val="0"/>
          <w:lang w:val="en-US"/>
        </w:rPr>
        <w:t xml:space="preserve">a </w:t>
      </w:r>
      <w:r w:rsidR="0047753D">
        <w:rPr>
          <w:rFonts w:cstheme="minorHAnsi"/>
          <w:kern w:val="0"/>
          <w:lang w:val="en-US"/>
        </w:rPr>
        <w:t xml:space="preserve">40 percent </w:t>
      </w:r>
      <w:r w:rsidR="00C42E08">
        <w:rPr>
          <w:rFonts w:cstheme="minorHAnsi"/>
          <w:kern w:val="0"/>
          <w:lang w:val="en-US"/>
        </w:rPr>
        <w:t xml:space="preserve">increase of </w:t>
      </w:r>
      <w:r w:rsidR="00906CBE">
        <w:rPr>
          <w:rFonts w:cstheme="minorHAnsi"/>
          <w:kern w:val="0"/>
          <w:lang w:val="en-US"/>
        </w:rPr>
        <w:t xml:space="preserve">number of </w:t>
      </w:r>
      <w:r w:rsidR="00D02DA2" w:rsidRPr="00223E95">
        <w:rPr>
          <w:rFonts w:cstheme="minorHAnsi"/>
          <w:kern w:val="0"/>
          <w:lang w:val="en-US"/>
        </w:rPr>
        <w:t xml:space="preserve">workers </w:t>
      </w:r>
      <w:r w:rsidR="00D02DA2">
        <w:rPr>
          <w:rFonts w:cstheme="minorHAnsi"/>
          <w:kern w:val="0"/>
          <w:lang w:val="en-US"/>
        </w:rPr>
        <w:t xml:space="preserve">in </w:t>
      </w:r>
      <w:r w:rsidRPr="00223E95">
        <w:rPr>
          <w:rFonts w:cstheme="minorHAnsi"/>
          <w:kern w:val="0"/>
          <w:lang w:val="en-US"/>
        </w:rPr>
        <w:t xml:space="preserve">eldercare </w:t>
      </w:r>
      <w:r w:rsidR="00254CDE">
        <w:rPr>
          <w:rFonts w:cstheme="minorHAnsi"/>
          <w:kern w:val="0"/>
          <w:lang w:val="en-US"/>
        </w:rPr>
        <w:t>are</w:t>
      </w:r>
      <w:r w:rsidR="003F1B17">
        <w:rPr>
          <w:rFonts w:cstheme="minorHAnsi"/>
          <w:kern w:val="0"/>
          <w:lang w:val="en-US"/>
        </w:rPr>
        <w:t xml:space="preserve"> estimated to be needed</w:t>
      </w:r>
      <w:r w:rsidR="00254CDE">
        <w:rPr>
          <w:rFonts w:cstheme="minorHAnsi"/>
          <w:kern w:val="0"/>
          <w:lang w:val="en-US"/>
        </w:rPr>
        <w:t xml:space="preserve"> </w:t>
      </w:r>
      <w:r w:rsidRPr="00223E95">
        <w:rPr>
          <w:rFonts w:cstheme="minorHAnsi"/>
          <w:kern w:val="0"/>
          <w:lang w:val="en-US"/>
        </w:rPr>
        <w:t xml:space="preserve">by </w:t>
      </w:r>
      <w:r w:rsidR="00C42E08">
        <w:rPr>
          <w:rFonts w:cstheme="minorHAnsi"/>
          <w:kern w:val="0"/>
          <w:lang w:val="en-US"/>
        </w:rPr>
        <w:t>2035</w:t>
      </w:r>
      <w:r w:rsidRPr="00223E95">
        <w:rPr>
          <w:rFonts w:cstheme="minorHAnsi"/>
          <w:kern w:val="0"/>
          <w:lang w:val="en-US"/>
        </w:rPr>
        <w:t xml:space="preserve"> to meet the</w:t>
      </w:r>
      <w:r w:rsidR="002B27EE">
        <w:rPr>
          <w:rFonts w:cstheme="minorHAnsi"/>
          <w:kern w:val="0"/>
          <w:lang w:val="en-US"/>
        </w:rPr>
        <w:t xml:space="preserve"> demands in the Swedish eldercare</w:t>
      </w:r>
      <w:r w:rsidRPr="00223E95">
        <w:rPr>
          <w:rFonts w:cstheme="minorHAnsi"/>
          <w:kern w:val="0"/>
          <w:lang w:val="en-US"/>
        </w:rPr>
        <w:t xml:space="preserve"> </w:t>
      </w:r>
      <w:r w:rsidR="002B27EE">
        <w:rPr>
          <w:rFonts w:cstheme="minorHAnsi"/>
          <w:kern w:val="0"/>
          <w:lang w:val="en-US"/>
        </w:rPr>
        <w:t xml:space="preserve">due to </w:t>
      </w:r>
      <w:r w:rsidRPr="00223E95">
        <w:rPr>
          <w:rFonts w:cstheme="minorHAnsi"/>
          <w:kern w:val="0"/>
          <w:lang w:val="en-US"/>
        </w:rPr>
        <w:t xml:space="preserve">an increasing population of older people </w:t>
      </w:r>
      <w:r w:rsidR="004124AD">
        <w:rPr>
          <w:rFonts w:cstheme="minorHAnsi"/>
          <w:kern w:val="0"/>
          <w:lang w:val="en-US"/>
        </w:rPr>
        <w:fldChar w:fldCharType="begin" w:fldLock="1"/>
      </w:r>
      <w:r w:rsidR="003002D0">
        <w:rPr>
          <w:rFonts w:cstheme="minorHAnsi"/>
          <w:kern w:val="0"/>
          <w:lang w:val="en-US"/>
        </w:rPr>
        <w:instrText>ADDIN CSL_CITATION {"citationItems":[{"id":"ITEM-1","itemData":{"ISBN":"9789264388574","author":[{"dropping-particle":"","family":"OECD","given":"","non-dropping-particle":"","parse-names":false,"suffix":""}],"id":"ITEM-1","issued":{"date-parts":[["2020"]]},"number-of-pages":"187","title":"Who cares? Attracting and retaining elderly care workers","type":"book"},"uris":["http://www.mendeley.com/documents/?uuid=57442f3f-8f1a-41f4-a3c3-dd850ef540bd"]},{"id":"ITEM-2","itemData":{"ISBN":"9789175855493","author":[{"dropping-particle":"","family":"SKR","given":"","non-dropping-particle":"","parse-names":false,"suffix":""}],"id":"ITEM-2","issued":{"date-parts":[["2019"]]},"publisher":"Sveriges Kommuner och Regioner","publisher-place":"Stockholm","title":"Ekonomirapporten, oktober 2019. Om kommunernas och regionernas ekonomi.","type":"book"},"uris":["http://www.mendeley.com/documents/?uuid=0a36ebbe-d3e4-446c-b97f-c60a5a764f51"]}],"mendeley":{"formattedCitation":"(OECD, 2020b; SKR, 2019)","plainTextFormattedCitation":"(OECD, 2020b; SKR, 2019)","previouslyFormattedCitation":"(OECD, 2020b; SKR, 2019)"},"properties":{"noteIndex":0},"schema":"https://github.com/citation-style-language/schema/raw/master/csl-citation.json"}</w:instrText>
      </w:r>
      <w:r w:rsidR="004124AD">
        <w:rPr>
          <w:rFonts w:cstheme="minorHAnsi"/>
          <w:kern w:val="0"/>
          <w:lang w:val="en-US"/>
        </w:rPr>
        <w:fldChar w:fldCharType="separate"/>
      </w:r>
      <w:r w:rsidR="00F03F1C" w:rsidRPr="00F03F1C">
        <w:rPr>
          <w:rFonts w:cstheme="minorHAnsi"/>
          <w:noProof/>
          <w:kern w:val="0"/>
          <w:lang w:val="en-US"/>
        </w:rPr>
        <w:t>(OECD, 2020b; SKR, 2019)</w:t>
      </w:r>
      <w:r w:rsidR="004124AD">
        <w:rPr>
          <w:rFonts w:cstheme="minorHAnsi"/>
          <w:kern w:val="0"/>
          <w:lang w:val="en-US"/>
        </w:rPr>
        <w:fldChar w:fldCharType="end"/>
      </w:r>
      <w:r w:rsidR="00251A6A">
        <w:rPr>
          <w:rFonts w:cstheme="minorHAnsi"/>
          <w:kern w:val="0"/>
          <w:lang w:val="en-US"/>
        </w:rPr>
        <w:t xml:space="preserve">. </w:t>
      </w:r>
      <w:r w:rsidR="003F1B17">
        <w:rPr>
          <w:rFonts w:cstheme="minorHAnsi"/>
          <w:kern w:val="0"/>
          <w:lang w:val="en-US"/>
        </w:rPr>
        <w:t xml:space="preserve">But </w:t>
      </w:r>
      <w:r w:rsidR="00D02DA2">
        <w:rPr>
          <w:rFonts w:cstheme="minorHAnsi"/>
          <w:kern w:val="0"/>
          <w:lang w:val="en-US"/>
        </w:rPr>
        <w:t>structural shortcomings</w:t>
      </w:r>
      <w:r w:rsidR="00E40FB0">
        <w:rPr>
          <w:rFonts w:cstheme="minorHAnsi"/>
          <w:kern w:val="0"/>
          <w:lang w:val="en-US"/>
        </w:rPr>
        <w:t xml:space="preserve">, </w:t>
      </w:r>
      <w:r w:rsidR="003F1B17">
        <w:rPr>
          <w:rFonts w:cstheme="minorHAnsi"/>
          <w:kern w:val="0"/>
          <w:lang w:val="en-US"/>
        </w:rPr>
        <w:t xml:space="preserve">in the current eldercare such </w:t>
      </w:r>
      <w:r w:rsidR="00D02DA2">
        <w:rPr>
          <w:rFonts w:cstheme="minorHAnsi"/>
          <w:kern w:val="0"/>
          <w:lang w:val="en-US"/>
        </w:rPr>
        <w:t xml:space="preserve">as workers' poor working conditions, </w:t>
      </w:r>
      <w:r w:rsidR="00A84D48">
        <w:rPr>
          <w:rFonts w:cstheme="minorHAnsi"/>
          <w:kern w:val="0"/>
          <w:lang w:val="en-US"/>
        </w:rPr>
        <w:t xml:space="preserve">high job demands and low job resources, </w:t>
      </w:r>
      <w:r w:rsidR="00D02DA2">
        <w:rPr>
          <w:rFonts w:cstheme="minorHAnsi"/>
          <w:kern w:val="0"/>
          <w:lang w:val="en-US"/>
        </w:rPr>
        <w:t>are challenging</w:t>
      </w:r>
      <w:r w:rsidR="00BC3E49">
        <w:rPr>
          <w:rFonts w:cstheme="minorHAnsi"/>
          <w:kern w:val="0"/>
          <w:lang w:val="en-US"/>
        </w:rPr>
        <w:t xml:space="preserve"> </w:t>
      </w:r>
      <w:r w:rsidR="00833477">
        <w:rPr>
          <w:rFonts w:cstheme="minorHAnsi"/>
          <w:kern w:val="0"/>
          <w:lang w:val="en-US"/>
        </w:rPr>
        <w:fldChar w:fldCharType="begin" w:fldLock="1"/>
      </w:r>
      <w:r w:rsidR="003002D0">
        <w:rPr>
          <w:rFonts w:cstheme="minorHAnsi"/>
          <w:kern w:val="0"/>
          <w:lang w:val="en-US"/>
        </w:rPr>
        <w:instrText>ADDIN CSL_CITATION {"citationItems":[{"id":"ITEM-1","itemData":{"ISBN":"9789264388574","author":[{"dropping-particle":"","family":"OECD","given":"","non-dropping-particle":"","parse-names":false,"suffix":""}],"id":"ITEM-1","issued":{"date-parts":[["2020"]]},"number-of-pages":"187","title":"Who cares? Attracting and retaining elderly care workers","type":"book"},"uris":["http://www.mendeley.com/documents/?uuid=57442f3f-8f1a-41f4-a3c3-dd850ef540bd"]},{"id":"ITEM-2","itemData":{"DOI":"10.1093/cje/ben043","author":[{"dropping-particle":"","family":"Simonazzi","given":"Annamaria","non-dropping-particle":"","parse-names":false,"suffix":""}],"id":"ITEM-2","issue":"November 2008","issued":{"date-parts":[["2009"]]},"page":"211-232","title":"Care regimes and national employment models","type":"article-journal"},"uris":["http://www.mendeley.com/documents/?uuid=221629dc-d22e-4eac-aeb4-f237a63ccac4"]},{"id":"ITEM-3","itemData":{"DOI":"10.1007/978-1-4614-4502-9","ISBN":"9781461445029","author":[{"dropping-particle":"","family":"Meagher","given":"Gabrielle","non-dropping-particle":"","parse-names":false,"suffix":""},{"dropping-particle":"","family":"Szebehely","given":"Marta","non-dropping-particle":"","parse-names":false,"suffix":""}],"container-title":"C. Ranci and E. Pavolini (Eds), Reforms in Long-Term Care Policies in Europe","id":"ITEM-3","issue":"November","issued":{"date-parts":[["2017"]]},"publisher":"Springer","publisher-place":"New York","title":"Long-Term Care in Sweden : Trends , Actors , and Consequences","type":"chapter"},"uris":["http://www.mendeley.com/documents/?uuid=b7c44adf-9254-4db6-8530-38017e614a86"]}],"mendeley":{"formattedCitation":"(Meagher &amp; Szebehely, 2017; OECD, 2020b; Simonazzi, 2009)","plainTextFormattedCitation":"(Meagher &amp; Szebehely, 2017; OECD, 2020b; Simonazzi, 2009)","previouslyFormattedCitation":"(Meagher &amp; Szebehely, 2017; OECD, 2020b; Simonazzi, 2009)"},"properties":{"noteIndex":0},"schema":"https://github.com/citation-style-language/schema/raw/master/csl-citation.json"}</w:instrText>
      </w:r>
      <w:r w:rsidR="00833477">
        <w:rPr>
          <w:rFonts w:cstheme="minorHAnsi"/>
          <w:kern w:val="0"/>
          <w:lang w:val="en-US"/>
        </w:rPr>
        <w:fldChar w:fldCharType="separate"/>
      </w:r>
      <w:r w:rsidR="00F03F1C" w:rsidRPr="00F03F1C">
        <w:rPr>
          <w:rFonts w:cstheme="minorHAnsi"/>
          <w:noProof/>
          <w:kern w:val="0"/>
          <w:lang w:val="en-US"/>
        </w:rPr>
        <w:t>(Meagher &amp; Szebehely, 2017; OECD, 2020b; Simonazzi, 2009)</w:t>
      </w:r>
      <w:r w:rsidR="00833477">
        <w:rPr>
          <w:rFonts w:cstheme="minorHAnsi"/>
          <w:kern w:val="0"/>
          <w:lang w:val="en-US"/>
        </w:rPr>
        <w:fldChar w:fldCharType="end"/>
      </w:r>
      <w:r w:rsidR="00351BFA" w:rsidRPr="00BD372F">
        <w:rPr>
          <w:rFonts w:cstheme="minorHAnsi"/>
          <w:kern w:val="0"/>
          <w:lang w:val="en-US"/>
        </w:rPr>
        <w:t>.</w:t>
      </w:r>
      <w:r w:rsidR="0036686E">
        <w:rPr>
          <w:rFonts w:cstheme="minorHAnsi"/>
          <w:kern w:val="0"/>
          <w:lang w:val="en-US"/>
        </w:rPr>
        <w:t xml:space="preserve"> The Swedish eldercare is </w:t>
      </w:r>
      <w:r w:rsidR="0036686E" w:rsidRPr="00BD72E6">
        <w:rPr>
          <w:rFonts w:cstheme="minorHAnsi"/>
          <w:kern w:val="0"/>
          <w:lang w:val="en-US"/>
        </w:rPr>
        <w:t>horizontal</w:t>
      </w:r>
      <w:r w:rsidR="0036686E">
        <w:rPr>
          <w:rFonts w:cstheme="minorHAnsi"/>
          <w:kern w:val="0"/>
          <w:lang w:val="en-US"/>
        </w:rPr>
        <w:t>ly</w:t>
      </w:r>
      <w:r w:rsidR="0036686E" w:rsidRPr="00BD72E6">
        <w:rPr>
          <w:rFonts w:cstheme="minorHAnsi"/>
          <w:kern w:val="0"/>
          <w:lang w:val="en-US"/>
        </w:rPr>
        <w:t xml:space="preserve"> segrega</w:t>
      </w:r>
      <w:r w:rsidR="0036686E">
        <w:rPr>
          <w:rFonts w:cstheme="minorHAnsi"/>
          <w:kern w:val="0"/>
          <w:lang w:val="en-US"/>
        </w:rPr>
        <w:t xml:space="preserve">ted (approximately 90 percent women </w:t>
      </w:r>
      <w:r w:rsidR="0036686E">
        <w:rPr>
          <w:rFonts w:cstheme="minorHAnsi"/>
          <w:kern w:val="0"/>
          <w:lang w:val="en-US"/>
        </w:rPr>
        <w:fldChar w:fldCharType="begin" w:fldLock="1"/>
      </w:r>
      <w:r w:rsidR="0036686E">
        <w:rPr>
          <w:rFonts w:cstheme="minorHAnsi"/>
          <w:kern w:val="0"/>
          <w:lang w:val="en-US"/>
        </w:rPr>
        <w:instrText>ADDIN CSL_CITATION {"citationItems":[{"id":"ITEM-1","itemData":{"author":[{"dropping-particle":"","family":"SCB","given":"","non-dropping-particle":"","parse-names":false,"suffix":""}],"id":"ITEM-1","issued":{"date-parts":[["2020"]]},"publisher-place":"Solna","title":"Trender och Prognoser 2020. Arbetsmarknad, Befolkning Utbildning - Med sikte på år 2035","type":"report"},"uris":["http://www.mendeley.com/documents/?uuid=e45b9e06-253b-48d8-b056-c65778d6ccaa"]}],"mendeley":{"formattedCitation":"(SCB, 2020)","plainTextFormattedCitation":"(SCB, 2020)","previouslyFormattedCitation":"(SCB, 2020)"},"properties":{"noteIndex":0},"schema":"https://github.com/citation-style-language/schema/raw/master/csl-citation.json"}</w:instrText>
      </w:r>
      <w:r w:rsidR="0036686E">
        <w:rPr>
          <w:rFonts w:cstheme="minorHAnsi"/>
          <w:kern w:val="0"/>
          <w:lang w:val="en-US"/>
        </w:rPr>
        <w:fldChar w:fldCharType="separate"/>
      </w:r>
      <w:r w:rsidR="0036686E" w:rsidRPr="00BD72E6">
        <w:rPr>
          <w:rFonts w:cstheme="minorHAnsi"/>
          <w:noProof/>
          <w:kern w:val="0"/>
          <w:lang w:val="en-US"/>
        </w:rPr>
        <w:t>(SCB, 2020)</w:t>
      </w:r>
      <w:r w:rsidR="0036686E">
        <w:rPr>
          <w:rFonts w:cstheme="minorHAnsi"/>
          <w:kern w:val="0"/>
          <w:lang w:val="en-US"/>
        </w:rPr>
        <w:fldChar w:fldCharType="end"/>
      </w:r>
      <w:r w:rsidR="00172093">
        <w:rPr>
          <w:rFonts w:cstheme="minorHAnsi"/>
          <w:kern w:val="0"/>
          <w:lang w:val="en-US"/>
        </w:rPr>
        <w:t xml:space="preserve">. </w:t>
      </w:r>
      <w:r w:rsidR="00C16F29">
        <w:rPr>
          <w:rFonts w:cstheme="minorHAnsi"/>
          <w:kern w:val="0"/>
          <w:lang w:val="en-US"/>
        </w:rPr>
        <w:t xml:space="preserve">Horizontally segregated occupations </w:t>
      </w:r>
      <w:r w:rsidR="0036686E">
        <w:rPr>
          <w:rFonts w:cstheme="minorHAnsi"/>
          <w:kern w:val="0"/>
          <w:lang w:val="en-US"/>
        </w:rPr>
        <w:t>associated with</w:t>
      </w:r>
      <w:r w:rsidR="0036686E" w:rsidRPr="00F57A50">
        <w:rPr>
          <w:rFonts w:cstheme="minorHAnsi"/>
          <w:kern w:val="0"/>
          <w:lang w:val="en-US"/>
        </w:rPr>
        <w:t xml:space="preserve"> </w:t>
      </w:r>
      <w:r w:rsidR="0036686E">
        <w:rPr>
          <w:rFonts w:cstheme="minorHAnsi"/>
          <w:kern w:val="0"/>
          <w:lang w:val="en-US"/>
        </w:rPr>
        <w:t xml:space="preserve">fewer </w:t>
      </w:r>
      <w:r w:rsidR="0036686E" w:rsidRPr="00F57A50">
        <w:rPr>
          <w:rFonts w:cstheme="minorHAnsi"/>
          <w:kern w:val="0"/>
          <w:lang w:val="en-US"/>
        </w:rPr>
        <w:t xml:space="preserve">job resources and </w:t>
      </w:r>
      <w:r w:rsidR="0036686E">
        <w:rPr>
          <w:rFonts w:cstheme="minorHAnsi"/>
          <w:kern w:val="0"/>
          <w:lang w:val="en-US"/>
        </w:rPr>
        <w:t>greater</w:t>
      </w:r>
      <w:r w:rsidR="0036686E" w:rsidRPr="00F57A50">
        <w:rPr>
          <w:rFonts w:cstheme="minorHAnsi"/>
          <w:kern w:val="0"/>
          <w:lang w:val="en-US"/>
        </w:rPr>
        <w:t xml:space="preserve"> </w:t>
      </w:r>
      <w:r w:rsidR="0036686E">
        <w:rPr>
          <w:rFonts w:cstheme="minorHAnsi"/>
          <w:kern w:val="0"/>
          <w:lang w:val="en-US"/>
        </w:rPr>
        <w:t>job demands</w:t>
      </w:r>
      <w:r w:rsidR="003E59DB">
        <w:rPr>
          <w:rFonts w:cstheme="minorHAnsi"/>
          <w:kern w:val="0"/>
          <w:lang w:val="en-US"/>
        </w:rPr>
        <w:t>. Women are more likely to have repetitive work and more often involved in contact occupation, than men</w:t>
      </w:r>
      <w:r w:rsidR="0036686E">
        <w:rPr>
          <w:rFonts w:cstheme="minorHAnsi"/>
          <w:kern w:val="0"/>
          <w:lang w:val="en-US"/>
        </w:rPr>
        <w:fldChar w:fldCharType="begin" w:fldLock="1"/>
      </w:r>
      <w:r w:rsidR="0036686E" w:rsidRPr="003E59DB">
        <w:rPr>
          <w:rFonts w:cstheme="minorHAnsi"/>
          <w:kern w:val="0"/>
          <w:lang w:val="en-US"/>
        </w:rPr>
        <w:instrText>ADDIN CSL_CITATION {"citationItems":[{"id":"ITEM-1","itemData":{"DOI":"ISSN: 1650-3171","author":[{"dropping-particle":"","family":"The Swedish work environment authority","given":"","non-dropping-particle":"","parse-names":false,"suffix":""}],"id":"ITEM-1","issued":{"date-parts":[["2016"]]},"title":"Healthy workplaces for women and men of all ages. A review (Friska arbetsplatser för kvinnor och män i alla åldrar. Kunskapssammanställning)","type":"article-journal"},"uris":["http://www.mendeley.com/documents/?uuid=15f671d8-09d2-4585-a86c-27f43f17919f"]}],"mendeley":{"formattedCitation":"(The Swedish work environment authority, 2016)","plainTextFormattedCitation":"(The Swedish work environment authority, 2016)","previouslyFormattedCitation":"(The Swedish work environment authority, 2016)"},"properties":{"noteIndex":0},"schema":"https://github.com/citation-style-language/schema/raw/master/csl-citation.json"}</w:instrText>
      </w:r>
      <w:r w:rsidR="0036686E">
        <w:rPr>
          <w:rFonts w:cstheme="minorHAnsi"/>
          <w:kern w:val="0"/>
          <w:lang w:val="en-US"/>
        </w:rPr>
        <w:fldChar w:fldCharType="separate"/>
      </w:r>
      <w:r w:rsidR="0036686E" w:rsidRPr="003E59DB">
        <w:rPr>
          <w:rFonts w:cstheme="minorHAnsi"/>
          <w:noProof/>
          <w:kern w:val="0"/>
          <w:lang w:val="en-US"/>
        </w:rPr>
        <w:t>(The Swedish work environment authority, 2016)</w:t>
      </w:r>
      <w:r w:rsidR="0036686E">
        <w:rPr>
          <w:rFonts w:cstheme="minorHAnsi"/>
          <w:kern w:val="0"/>
          <w:lang w:val="en-US"/>
        </w:rPr>
        <w:fldChar w:fldCharType="end"/>
      </w:r>
      <w:r w:rsidR="00C16F29" w:rsidRPr="003E59DB">
        <w:rPr>
          <w:rFonts w:cstheme="minorHAnsi"/>
          <w:kern w:val="0"/>
          <w:lang w:val="en-US"/>
        </w:rPr>
        <w:t xml:space="preserve">. </w:t>
      </w:r>
      <w:r w:rsidR="003E59DB">
        <w:rPr>
          <w:rFonts w:cstheme="minorHAnsi"/>
          <w:kern w:val="0"/>
          <w:lang w:val="en-US"/>
        </w:rPr>
        <w:t>E</w:t>
      </w:r>
      <w:r w:rsidR="00475B49">
        <w:rPr>
          <w:rFonts w:cstheme="minorHAnsi"/>
          <w:kern w:val="0"/>
          <w:lang w:val="en-US"/>
        </w:rPr>
        <w:t>l</w:t>
      </w:r>
      <w:r w:rsidR="0036686E" w:rsidRPr="006B33B8">
        <w:rPr>
          <w:rFonts w:cstheme="minorHAnsi"/>
          <w:kern w:val="0"/>
          <w:lang w:val="en-US"/>
        </w:rPr>
        <w:t xml:space="preserve">dercare workers often have low-hour or part-time contracts with flexible routers, </w:t>
      </w:r>
      <w:r w:rsidR="003A2ADA">
        <w:rPr>
          <w:rFonts w:cstheme="minorHAnsi"/>
          <w:kern w:val="0"/>
          <w:lang w:val="en-US"/>
        </w:rPr>
        <w:t xml:space="preserve">and </w:t>
      </w:r>
      <w:r w:rsidR="0036686E" w:rsidRPr="006B33B8">
        <w:rPr>
          <w:rFonts w:cstheme="minorHAnsi"/>
          <w:kern w:val="0"/>
          <w:lang w:val="en-US"/>
        </w:rPr>
        <w:t xml:space="preserve">high levels of skill shortages </w:t>
      </w:r>
      <w:r w:rsidR="0036686E" w:rsidRPr="006B33B8">
        <w:rPr>
          <w:rFonts w:cstheme="minorHAnsi"/>
          <w:kern w:val="0"/>
          <w:lang w:val="en-US"/>
        </w:rPr>
        <w:fldChar w:fldCharType="begin" w:fldLock="1"/>
      </w:r>
      <w:r w:rsidR="0036686E" w:rsidRPr="006B33B8">
        <w:rPr>
          <w:rFonts w:cstheme="minorHAnsi"/>
          <w:kern w:val="0"/>
          <w:lang w:val="en-US"/>
        </w:rPr>
        <w:instrText>ADDIN CSL_CITATION {"citationItems":[{"id":"ITEM-1","itemData":{"DOI":"10.1186/s40985-017-0053-8","ISSN":"21076952","abstract":"Background: There is a global imperative to respond to the challenge of a growing 'old-age dependency ratio' by ensuring the workforce is healthy enough to remain in work for longer. Currently more than half of older workers leave before the default retirement age, and in some countries (e.g. the UK), the time spent in retirement is increasing. At the same time across Europe, there is a gender employment gap, with 14.5% fewer female workers between 55'64 years old, and a large variation in the participation of older women in the workforce (ranging from 30'75%). As older women are under-represented in the workforce, increasing employment in this group has the propensity to go some way towards reducing the old-age dependency ratio to ensure continued economic growth. Objectives: This review explores the barriers and facilitators to extended working lives in Europe, particularly those that impact on women. Methods: A systematic mapping review process was undertaken using four electronic databases, MEDLINE, PsychoINFO, PsychEXTRA via Ovid and AgeLine via EBSCO, using the terms, 'work', 'ageing', 'retirement', 'pension', 'old', 'barrier', 'extended working life'', 'gender' and 'health and well-being'. Hand searching was also carried out in the International Journal of Aging and Human Development and the International Journal of Aging and Society. Results: The search resulted in 15 English language studies published from 1st January 2005 to the current date that met the inclusion criteria. Key findings: The key factors that influenced decisions to retire or extend working lives in Europe were health, social factors, workplace factors, and financial security and pension arrangements. Conclusions and implications of the key findings: Health was found to be the most commonly cited barrier to extended working lives in Europe, and a number of social inequalities to work exist by gender. Structural factors exist, such as the gender pay gap, which disadvantages women, while the nature of work itself differs by gender and can have a negative impact on health. Currently, women tend to exit the labour market earlier than men; however, changes in the state pension age are resulting in women being required to work for as long as men, in most countries. For women to remain healthy at work, workplaces need to consider a range of interventions, including flexible arrangements to both work and retirement to enable women to balance the demands of work with domestic and caring…","author":[{"dropping-particle":"","family":"Edge","given":"Clare Ellen","non-dropping-particle":"","parse-names":false,"suffix":""},{"dropping-particle":"","family":"Cooper","given":"Anna Mary","non-dropping-particle":"","parse-names":false,"suffix":""},{"dropping-particle":"","family":"Coffey","given":"Margaret","non-dropping-particle":"","parse-names":false,"suffix":""}],"container-title":"Public Health Reviews","id":"ITEM-1","issue":"1","issued":{"date-parts":[["2017"]]},"page":"1-27","publisher":"Public Health Reviews","title":"Barriers and facilitators to extended working lives in Europe: A gender focus","type":"article-journal","volume":"38"},"uris":["http://www.mendeley.com/documents/?uuid=52a49293-c01f-4a36-978c-96c76d042180"]}],"mendeley":{"formattedCitation":"(Edge et al., 2017)","plainTextFormattedCitation":"(Edge et al., 2017)","previouslyFormattedCitation":"(Edge et al., 2017)"},"properties":{"noteIndex":0},"schema":"https://github.com/citation-style-language/schema/raw/master/csl-citation.json"}</w:instrText>
      </w:r>
      <w:r w:rsidR="0036686E" w:rsidRPr="006B33B8">
        <w:rPr>
          <w:rFonts w:cstheme="minorHAnsi"/>
          <w:kern w:val="0"/>
          <w:lang w:val="en-US"/>
        </w:rPr>
        <w:fldChar w:fldCharType="separate"/>
      </w:r>
      <w:r w:rsidR="0036686E" w:rsidRPr="006B33B8">
        <w:rPr>
          <w:rFonts w:cstheme="minorHAnsi"/>
          <w:noProof/>
          <w:kern w:val="0"/>
          <w:lang w:val="en-US"/>
        </w:rPr>
        <w:t>(Edge et al., 2017)</w:t>
      </w:r>
      <w:r w:rsidR="0036686E" w:rsidRPr="006B33B8">
        <w:rPr>
          <w:rFonts w:cstheme="minorHAnsi"/>
          <w:kern w:val="0"/>
          <w:lang w:val="en-US"/>
        </w:rPr>
        <w:fldChar w:fldCharType="end"/>
      </w:r>
      <w:r w:rsidR="0036686E" w:rsidRPr="006B33B8">
        <w:rPr>
          <w:rFonts w:cstheme="minorHAnsi"/>
          <w:kern w:val="0"/>
          <w:lang w:val="en-US"/>
        </w:rPr>
        <w:t>.</w:t>
      </w:r>
      <w:r w:rsidR="0036686E">
        <w:rPr>
          <w:rFonts w:cstheme="minorHAnsi"/>
          <w:kern w:val="0"/>
          <w:lang w:val="en-US"/>
        </w:rPr>
        <w:t xml:space="preserve"> These factors all contribute to job strain and poor health, potentially pushing workers to early retirement </w:t>
      </w:r>
      <w:r w:rsidR="0036686E">
        <w:rPr>
          <w:rFonts w:cstheme="minorHAnsi"/>
          <w:kern w:val="0"/>
          <w:lang w:val="en-US"/>
        </w:rPr>
        <w:fldChar w:fldCharType="begin" w:fldLock="1"/>
      </w:r>
      <w:r w:rsidR="0036686E">
        <w:rPr>
          <w:rFonts w:cstheme="minorHAnsi"/>
          <w:kern w:val="0"/>
          <w:lang w:val="en-US"/>
        </w:rPr>
        <w:instrText>ADDIN CSL_CITATION {"citationItems":[{"id":"ITEM-1","itemData":{"DOI":"10.1093/workar/waw001","ISSN":"20544650","abstract":"Although there have been many reviews of the retirement literature in recent years, the issue of retirement timing has received less attention, neglecting some large and important issues. Further, a significant number of empirical articles about retirement timing have been published across multiple disciplines since these review articles were written. The purpose of our study is to review and integrate prior research regarding retirement timing. We define retirement timing as the age or relative point at which workers exit from their position or career path (e.g., early, on time, and later). We propose a model to serve as an organizing framework for understanding retirement timing. Our model includes antecedents and consequences that are each grouped in terms of individual, family, work, and sociocultural factors related to the timing of the retirement process. We identify and discuss key factors that serve to moderate the relation between retirement timing and consequences. Finally, we identify gaps in the current literature and provide recommendations for future research.","author":[{"dropping-particle":"","family":"Fisher","given":"Gwenith G.","non-dropping-particle":"","parse-names":false,"suffix":""},{"dropping-particle":"","family":"Chaffee","given":"Dorey S.","non-dropping-particle":"","parse-names":false,"suffix":""},{"dropping-particle":"","family":"Sonnega","given":"Amanda","non-dropping-particle":"","parse-names":false,"suffix":""}],"container-title":"Work, Aging and Retirement","id":"ITEM-1","issue":"2","issued":{"date-parts":[["2016"]]},"page":"230-261","title":"Retirement timing: A review and recommendations for future research","type":"article-journal","volume":"2"},"uris":["http://www.mendeley.com/documents/?uuid=c5e61461-5315-4289-a384-589854d595f4"]}],"mendeley":{"formattedCitation":"(Fisher et al., 2016)","manualFormatting":"(e.g. Fisher et al., 2016)","plainTextFormattedCitation":"(Fisher et al., 2016)","previouslyFormattedCitation":"(Fisher et al., 2016)"},"properties":{"noteIndex":0},"schema":"https://github.com/citation-style-language/schema/raw/master/csl-citation.json"}</w:instrText>
      </w:r>
      <w:r w:rsidR="0036686E">
        <w:rPr>
          <w:rFonts w:cstheme="minorHAnsi"/>
          <w:kern w:val="0"/>
          <w:lang w:val="en-US"/>
        </w:rPr>
        <w:fldChar w:fldCharType="separate"/>
      </w:r>
      <w:r w:rsidR="0036686E" w:rsidRPr="00F57A50">
        <w:rPr>
          <w:rFonts w:cstheme="minorHAnsi"/>
          <w:noProof/>
          <w:kern w:val="0"/>
          <w:lang w:val="en-US"/>
        </w:rPr>
        <w:t>(</w:t>
      </w:r>
      <w:r w:rsidR="0036686E">
        <w:rPr>
          <w:rFonts w:cstheme="minorHAnsi"/>
          <w:noProof/>
          <w:kern w:val="0"/>
          <w:lang w:val="en-US"/>
        </w:rPr>
        <w:t xml:space="preserve">e.g. </w:t>
      </w:r>
      <w:r w:rsidR="0036686E" w:rsidRPr="00F57A50">
        <w:rPr>
          <w:rFonts w:cstheme="minorHAnsi"/>
          <w:noProof/>
          <w:kern w:val="0"/>
          <w:lang w:val="en-US"/>
        </w:rPr>
        <w:t>Fisher et al., 2016)</w:t>
      </w:r>
      <w:r w:rsidR="0036686E">
        <w:rPr>
          <w:rFonts w:cstheme="minorHAnsi"/>
          <w:kern w:val="0"/>
          <w:lang w:val="en-US"/>
        </w:rPr>
        <w:fldChar w:fldCharType="end"/>
      </w:r>
      <w:r w:rsidR="0036686E">
        <w:rPr>
          <w:rFonts w:cstheme="minorHAnsi"/>
          <w:kern w:val="0"/>
          <w:lang w:val="en-US"/>
        </w:rPr>
        <w:t>.</w:t>
      </w:r>
    </w:p>
    <w:p w14:paraId="473F0379" w14:textId="77777777" w:rsidR="0036686E" w:rsidRDefault="0036686E" w:rsidP="00A84D48">
      <w:pPr>
        <w:autoSpaceDE w:val="0"/>
        <w:autoSpaceDN w:val="0"/>
        <w:adjustRightInd w:val="0"/>
        <w:spacing w:after="0" w:line="360" w:lineRule="auto"/>
        <w:ind w:left="567" w:right="953"/>
        <w:rPr>
          <w:rFonts w:cstheme="minorHAnsi"/>
          <w:kern w:val="0"/>
          <w:lang w:val="en-US"/>
        </w:rPr>
      </w:pPr>
    </w:p>
    <w:p w14:paraId="14498811" w14:textId="4C552697" w:rsidR="001B3517" w:rsidRPr="001B3517" w:rsidRDefault="00BD372F" w:rsidP="00A84D48">
      <w:pPr>
        <w:autoSpaceDE w:val="0"/>
        <w:autoSpaceDN w:val="0"/>
        <w:adjustRightInd w:val="0"/>
        <w:spacing w:after="0" w:line="360" w:lineRule="auto"/>
        <w:ind w:left="567" w:right="953"/>
        <w:rPr>
          <w:rFonts w:cstheme="minorHAnsi"/>
          <w:i/>
          <w:iCs/>
          <w:kern w:val="0"/>
          <w:sz w:val="24"/>
          <w:szCs w:val="24"/>
          <w:lang w:val="en-US"/>
        </w:rPr>
      </w:pPr>
      <w:r>
        <w:rPr>
          <w:rFonts w:cstheme="minorHAnsi"/>
          <w:kern w:val="0"/>
          <w:lang w:val="en-US"/>
        </w:rPr>
        <w:t xml:space="preserve">The other coincide of </w:t>
      </w:r>
      <w:r w:rsidR="00B23FDD">
        <w:rPr>
          <w:rFonts w:cstheme="minorHAnsi"/>
          <w:kern w:val="0"/>
          <w:lang w:val="en-US"/>
        </w:rPr>
        <w:t xml:space="preserve">the </w:t>
      </w:r>
      <w:r w:rsidR="00767EE1" w:rsidRPr="00351BFA">
        <w:rPr>
          <w:rFonts w:cstheme="minorHAnsi"/>
          <w:kern w:val="0"/>
          <w:lang w:val="en-US"/>
        </w:rPr>
        <w:t>workforce shortage in eldercare</w:t>
      </w:r>
      <w:r w:rsidR="00857B09">
        <w:rPr>
          <w:rFonts w:cstheme="minorHAnsi"/>
          <w:kern w:val="0"/>
          <w:lang w:val="en-US"/>
        </w:rPr>
        <w:t>,</w:t>
      </w:r>
      <w:r w:rsidR="00767EE1" w:rsidRPr="00351BFA">
        <w:rPr>
          <w:rFonts w:cstheme="minorHAnsi"/>
          <w:kern w:val="0"/>
          <w:lang w:val="en-US"/>
        </w:rPr>
        <w:t xml:space="preserve"> is the </w:t>
      </w:r>
      <w:r w:rsidR="003F1B17">
        <w:rPr>
          <w:rFonts w:cstheme="minorHAnsi"/>
          <w:kern w:val="0"/>
          <w:lang w:val="en-US"/>
        </w:rPr>
        <w:t xml:space="preserve">future </w:t>
      </w:r>
      <w:r w:rsidR="00767EE1" w:rsidRPr="00351BFA">
        <w:rPr>
          <w:rFonts w:cstheme="minorHAnsi"/>
          <w:kern w:val="0"/>
          <w:lang w:val="en-US"/>
        </w:rPr>
        <w:t xml:space="preserve">growth </w:t>
      </w:r>
      <w:r w:rsidR="00DB6A0A">
        <w:rPr>
          <w:rFonts w:cstheme="minorHAnsi"/>
          <w:kern w:val="0"/>
          <w:lang w:val="en-US"/>
        </w:rPr>
        <w:t xml:space="preserve">of </w:t>
      </w:r>
      <w:r w:rsidR="003A2ADA">
        <w:rPr>
          <w:rFonts w:cstheme="minorHAnsi"/>
          <w:kern w:val="0"/>
          <w:lang w:val="en-US"/>
        </w:rPr>
        <w:t xml:space="preserve">the number of </w:t>
      </w:r>
      <w:r w:rsidR="00767EE1" w:rsidRPr="00351BFA">
        <w:rPr>
          <w:rFonts w:cstheme="minorHAnsi"/>
          <w:kern w:val="0"/>
          <w:lang w:val="en-US"/>
        </w:rPr>
        <w:t>older people in care need</w:t>
      </w:r>
      <w:r w:rsidR="00DB6A0A">
        <w:rPr>
          <w:rFonts w:cstheme="minorHAnsi"/>
          <w:kern w:val="0"/>
          <w:lang w:val="en-US"/>
        </w:rPr>
        <w:t xml:space="preserve">. </w:t>
      </w:r>
      <w:r w:rsidR="00857B09">
        <w:rPr>
          <w:rFonts w:cstheme="minorHAnsi"/>
          <w:kern w:val="0"/>
          <w:lang w:val="en-US"/>
        </w:rPr>
        <w:t>According to Meinow</w:t>
      </w:r>
      <w:r>
        <w:rPr>
          <w:rFonts w:cstheme="minorHAnsi"/>
          <w:kern w:val="0"/>
          <w:lang w:val="en-US"/>
        </w:rPr>
        <w:t xml:space="preserve"> et al.,</w:t>
      </w:r>
      <w:r w:rsidR="00857B09">
        <w:rPr>
          <w:rFonts w:cstheme="minorHAnsi"/>
          <w:kern w:val="0"/>
          <w:lang w:val="en-US"/>
        </w:rPr>
        <w:t xml:space="preserve"> </w:t>
      </w:r>
      <w:r>
        <w:rPr>
          <w:rFonts w:cstheme="minorHAnsi"/>
          <w:kern w:val="0"/>
          <w:lang w:val="en-US"/>
        </w:rPr>
        <w:fldChar w:fldCharType="begin" w:fldLock="1"/>
      </w:r>
      <w:r>
        <w:rPr>
          <w:rFonts w:cstheme="minorHAnsi"/>
          <w:kern w:val="0"/>
          <w:lang w:val="en-US"/>
        </w:rPr>
        <w:instrText>ADDIN CSL_CITATION {"citationItems":[{"id":"ITEM-1","itemData":{"DOI":"10.1016/j.jamda.2020.01.003","ISSN":"15389375","PMID":"32081681","abstract":"Objectives: To map out the total use of long-term care (LTC; ie, home care or institutional care) during the last 2 years of life and to investigate to what extent gender differences in LTC use were explained by cohabitation status and age at death. Design: The National Cause of Death Register was used to identify decedents. Use of LTC was based on the Social Services Register (SSR) and sociodemographic factors were provided by Statistics Sweden. Setting and Participants: All persons living in Sweden who died in November 2015 aged ≥67 years (n = 5948). Methods: Zero inflated negative binomial regression was used to estimate the relative impact of age, gender, and cohabitation status on the use of LTC. Results: Women used LTC to a larger extent [odds ratio (OR) 2.17, 95% confidence interval (CI) 1.92-2.50] and for a longer period [risk ratio (RR) 1.14, 95% CI 1.11-1.18] than men. When controlling for age at death and cohabitation status, gender differences in LTC attenuated (OR 1.47, 95% CI 1.28-1.72) and vanished in regard to the duration. In the controlled model, women used LTC for 15.6 months (95% CI 15.2-16.0) and men for 14.1 months (95% CI 13.7-14.5) out of 24 months. The length of stay in institutional care was 7.2 (95% CI 6.8-7.5) and 6.2 months (95% CI 5.8-6.6), respectively. Conclusions and Implications: A substantial part of women's greater use of LTC was due to their higher age at death and because they more often lived alone. Given that survival continues to increase, the association between older age at death and LTC use suggests that policy makers will have to deal with an increased pressure on the LTC sector. Yet, increased survival among men could imply that more women will have access to spousal caregivers, although very old couples may have limited capacity for extensive caregiving at the end of life.","author":[{"dropping-particle":"","family":"Meinow","given":"Bettina","non-dropping-particle":"","parse-names":false,"suffix":""},{"dropping-particle":"","family":"Wastesson","given":"Jonas W.","non-dropping-particle":"","parse-names":false,"suffix":""},{"dropping-particle":"","family":"Kåreholt","given":"Ingemar","non-dropping-particle":"","parse-names":false,"suffix":""},{"dropping-particle":"","family":"Kelfve","given":"Susanne","non-dropping-particle":"","parse-names":false,"suffix":""}],"container-title":"Journal of the American Medical Directors Association","id":"ITEM-1","issue":"6","issued":{"date-parts":[["2020"]]},"page":"799-805","publisher":"Elsevier Inc.","title":"Long-Term Care Use During the Last 2 Years of Life in Sweden: Implications for Policy to Address Increased Population Aging","type":"article-journal","volume":"21"},"suppress-author":1,"uris":["http://www.mendeley.com/documents/?uuid=00a18149-fe75-498f-b24a-7ac81fa58439"]}],"mendeley":{"formattedCitation":"(2020)","plainTextFormattedCitation":"(2020)","previouslyFormattedCitation":"(2020)"},"properties":{"noteIndex":0},"schema":"https://github.com/citation-style-language/schema/raw/master/csl-citation.json"}</w:instrText>
      </w:r>
      <w:r>
        <w:rPr>
          <w:rFonts w:cstheme="minorHAnsi"/>
          <w:kern w:val="0"/>
          <w:lang w:val="en-US"/>
        </w:rPr>
        <w:fldChar w:fldCharType="separate"/>
      </w:r>
      <w:r w:rsidRPr="00BD372F">
        <w:rPr>
          <w:rFonts w:cstheme="minorHAnsi"/>
          <w:noProof/>
          <w:kern w:val="0"/>
          <w:lang w:val="en-US"/>
        </w:rPr>
        <w:t>(2020)</w:t>
      </w:r>
      <w:r>
        <w:rPr>
          <w:rFonts w:cstheme="minorHAnsi"/>
          <w:kern w:val="0"/>
          <w:lang w:val="en-US"/>
        </w:rPr>
        <w:fldChar w:fldCharType="end"/>
      </w:r>
      <w:r w:rsidR="00857B09">
        <w:rPr>
          <w:rFonts w:cstheme="minorHAnsi"/>
          <w:kern w:val="0"/>
          <w:lang w:val="en-US"/>
        </w:rPr>
        <w:t xml:space="preserve">, </w:t>
      </w:r>
      <w:r w:rsidR="00DB6A0A" w:rsidRPr="00BD372F">
        <w:rPr>
          <w:rFonts w:cstheme="minorHAnsi"/>
          <w:kern w:val="0"/>
          <w:lang w:val="en-US"/>
        </w:rPr>
        <w:t xml:space="preserve">downsizing in the </w:t>
      </w:r>
      <w:r w:rsidR="00DB6A0A" w:rsidRPr="00A92BCC">
        <w:rPr>
          <w:rFonts w:cstheme="minorHAnsi"/>
          <w:kern w:val="0"/>
          <w:lang w:val="en-US"/>
        </w:rPr>
        <w:t>comparatively generous</w:t>
      </w:r>
      <w:r w:rsidR="00DB6A0A">
        <w:rPr>
          <w:rFonts w:cstheme="minorHAnsi"/>
          <w:kern w:val="0"/>
          <w:lang w:val="en-US"/>
        </w:rPr>
        <w:t>, state-funded, and universal Swedish eldercare</w:t>
      </w:r>
      <w:r w:rsidR="00857B09" w:rsidRPr="00BD372F">
        <w:rPr>
          <w:rFonts w:cstheme="minorHAnsi"/>
          <w:kern w:val="0"/>
          <w:lang w:val="en-US"/>
        </w:rPr>
        <w:t xml:space="preserve"> has </w:t>
      </w:r>
      <w:r w:rsidR="003A2ADA">
        <w:rPr>
          <w:rFonts w:cstheme="minorHAnsi"/>
          <w:kern w:val="0"/>
          <w:lang w:val="en-US"/>
        </w:rPr>
        <w:t>impacted an</w:t>
      </w:r>
      <w:r w:rsidR="00DB6A0A" w:rsidRPr="00BD372F">
        <w:rPr>
          <w:rFonts w:cstheme="minorHAnsi"/>
          <w:kern w:val="0"/>
          <w:lang w:val="en-US"/>
        </w:rPr>
        <w:t xml:space="preserve"> increase</w:t>
      </w:r>
      <w:r w:rsidR="003A2ADA">
        <w:rPr>
          <w:rFonts w:cstheme="minorHAnsi"/>
          <w:kern w:val="0"/>
          <w:lang w:val="en-US"/>
        </w:rPr>
        <w:t xml:space="preserve"> in</w:t>
      </w:r>
      <w:r w:rsidR="00DB6A0A" w:rsidRPr="00BD372F">
        <w:rPr>
          <w:rFonts w:cstheme="minorHAnsi"/>
          <w:kern w:val="0"/>
          <w:lang w:val="en-US"/>
        </w:rPr>
        <w:t xml:space="preserve"> home-based elder care, </w:t>
      </w:r>
      <w:r w:rsidR="003A2ADA">
        <w:rPr>
          <w:rFonts w:cstheme="minorHAnsi"/>
          <w:kern w:val="0"/>
          <w:lang w:val="en-US"/>
        </w:rPr>
        <w:t>as well as an</w:t>
      </w:r>
      <w:r w:rsidR="00DB6A0A" w:rsidRPr="00BD372F">
        <w:rPr>
          <w:rFonts w:cstheme="minorHAnsi"/>
          <w:kern w:val="0"/>
          <w:lang w:val="en-US"/>
        </w:rPr>
        <w:t xml:space="preserve"> increase</w:t>
      </w:r>
      <w:r w:rsidR="003A2ADA">
        <w:rPr>
          <w:rFonts w:cstheme="minorHAnsi"/>
          <w:kern w:val="0"/>
          <w:lang w:val="en-US"/>
        </w:rPr>
        <w:t xml:space="preserve"> in</w:t>
      </w:r>
      <w:r w:rsidR="00DB6A0A" w:rsidRPr="00BD372F">
        <w:rPr>
          <w:rFonts w:cstheme="minorHAnsi"/>
          <w:kern w:val="0"/>
          <w:lang w:val="en-US"/>
        </w:rPr>
        <w:t xml:space="preserve"> informal caring responsibilities</w:t>
      </w:r>
      <w:r>
        <w:rPr>
          <w:rFonts w:cstheme="minorHAnsi"/>
          <w:kern w:val="0"/>
          <w:lang w:val="en-US"/>
        </w:rPr>
        <w:t xml:space="preserve">. </w:t>
      </w:r>
      <w:r w:rsidR="00B65BCC">
        <w:rPr>
          <w:rFonts w:cstheme="minorHAnsi"/>
          <w:kern w:val="0"/>
          <w:lang w:val="en-US"/>
        </w:rPr>
        <w:t>Informal caregiving, i.e.,</w:t>
      </w:r>
      <w:r w:rsidR="00B65BCC" w:rsidRPr="00A92BCC">
        <w:rPr>
          <w:rFonts w:cstheme="minorHAnsi"/>
          <w:kern w:val="0"/>
          <w:lang w:val="en-US"/>
        </w:rPr>
        <w:t xml:space="preserve"> caring responsibilities for </w:t>
      </w:r>
      <w:r w:rsidR="00172093">
        <w:rPr>
          <w:rFonts w:cstheme="minorHAnsi"/>
          <w:kern w:val="0"/>
          <w:lang w:val="en-US"/>
        </w:rPr>
        <w:t xml:space="preserve">mostly </w:t>
      </w:r>
      <w:r w:rsidR="00B65BCC" w:rsidRPr="00A92BCC">
        <w:rPr>
          <w:rFonts w:cstheme="minorHAnsi"/>
          <w:kern w:val="0"/>
          <w:lang w:val="en-US"/>
        </w:rPr>
        <w:t>relatives</w:t>
      </w:r>
      <w:r w:rsidR="00172093">
        <w:rPr>
          <w:rFonts w:cstheme="minorHAnsi"/>
          <w:kern w:val="0"/>
          <w:lang w:val="en-US"/>
        </w:rPr>
        <w:t xml:space="preserve"> but also friends and neighbors</w:t>
      </w:r>
      <w:r w:rsidR="00B65BCC" w:rsidRPr="00A92BCC">
        <w:rPr>
          <w:rFonts w:cstheme="minorHAnsi"/>
          <w:kern w:val="0"/>
          <w:lang w:val="en-US"/>
        </w:rPr>
        <w:t xml:space="preserve">, </w:t>
      </w:r>
      <w:r w:rsidR="00B65BCC">
        <w:rPr>
          <w:rFonts w:cstheme="minorHAnsi"/>
          <w:kern w:val="0"/>
          <w:lang w:val="en-US"/>
        </w:rPr>
        <w:t xml:space="preserve">is a common </w:t>
      </w:r>
      <w:r>
        <w:rPr>
          <w:rFonts w:cstheme="minorHAnsi"/>
          <w:kern w:val="0"/>
          <w:lang w:val="en-US"/>
        </w:rPr>
        <w:t xml:space="preserve">domain </w:t>
      </w:r>
      <w:r w:rsidR="00B65BCC">
        <w:rPr>
          <w:rFonts w:cstheme="minorHAnsi"/>
          <w:kern w:val="0"/>
          <w:lang w:val="en-US"/>
        </w:rPr>
        <w:t>in family</w:t>
      </w:r>
      <w:r w:rsidR="00CC16E4">
        <w:rPr>
          <w:rFonts w:cstheme="minorHAnsi"/>
          <w:kern w:val="0"/>
          <w:lang w:val="en-US"/>
        </w:rPr>
        <w:t>-work</w:t>
      </w:r>
      <w:r w:rsidR="00B65BCC">
        <w:rPr>
          <w:rFonts w:cstheme="minorHAnsi"/>
          <w:kern w:val="0"/>
          <w:lang w:val="en-US"/>
        </w:rPr>
        <w:t xml:space="preserve"> conflicts </w:t>
      </w:r>
      <w:r>
        <w:rPr>
          <w:rFonts w:cstheme="minorHAnsi"/>
          <w:kern w:val="0"/>
          <w:lang w:val="en-US"/>
        </w:rPr>
        <w:fldChar w:fldCharType="begin" w:fldLock="1"/>
      </w:r>
      <w:r>
        <w:rPr>
          <w:rFonts w:cstheme="minorHAnsi"/>
          <w:kern w:val="0"/>
          <w:lang w:val="en-US"/>
        </w:rPr>
        <w:instrText>ADDIN CSL_CITATION {"citationItems":[{"id":"ITEM-1","itemData":{"DOI":"10.1016/j.ssmph.2023.101458","ISSN":"23528273","abstract":"Many individuals are experiencing the potentially stressful combination of providing care while still employed. In this study, the association between unpaid caregiving to another adult and self-reported stress among men and women aged 45–74 is investigated, using nationally representative time use diary data for Sweden (2000-01 and 2010–11, N = 6689). Multivariate regression analyses established that women were overall more stressed than men with the largest gender stress gap observed among intensive caregivers, providing &gt;60 min of daily care and employed caregivers. The association between unpaid caregiving, employment, and self-reported stress is gendered. Among men, there is no caregiver effect regarding stress, but for women there is a net effect of 6–9%. Combining employment and unpaid caregiving (especially if intensive) is stressful for women but not for men. There are two potential mechanisms for this: less time for leisure and sleep. Unpaid caregiving is positively associated with stress among women when seen in relation to the way caregivers trade off time, not least to aid their recovery. These findings provide a more nuanced understanding of the time trade-offs carers make and uncover gender differences in the association between caregiving and stress that add to an existing gender stress gap. Given that unpaid caregivers are an important source of long-term care services, policymakers should consider that caregiving may be stressful and that stress impacts are gendered when designing and evaluating policies for longer working lives.","author":[{"dropping-particle":"","family":"Stanfors","given":"Maria","non-dropping-particle":"","parse-names":false,"suffix":""},{"dropping-particle":"","family":"Jacobs","given":"Josephine","non-dropping-particle":"","parse-names":false,"suffix":""}],"container-title":"SSM - Population Health","id":"ITEM-1","issue":"June","issued":{"date-parts":[["2023"]]},"page":"101458","publisher":"Elsevier Ltd","title":"Unpaid caregiving and stress among older working-age men and women in Sweden","type":"article-journal","volume":"23"},"uris":["http://www.mendeley.com/documents/?uuid=02d4db37-dcfd-45f1-b0af-8a4e4371cac1"]}],"mendeley":{"formattedCitation":"(Stanfors &amp; Jacobs, 2023)","plainTextFormattedCitation":"(Stanfors &amp; Jacobs, 2023)","previouslyFormattedCitation":"(Stanfors &amp; Jacobs, 2023)"},"properties":{"noteIndex":0},"schema":"https://github.com/citation-style-language/schema/raw/master/csl-citation.json"}</w:instrText>
      </w:r>
      <w:r>
        <w:rPr>
          <w:rFonts w:cstheme="minorHAnsi"/>
          <w:kern w:val="0"/>
          <w:lang w:val="en-US"/>
        </w:rPr>
        <w:fldChar w:fldCharType="separate"/>
      </w:r>
      <w:r w:rsidRPr="00BD372F">
        <w:rPr>
          <w:rFonts w:cstheme="minorHAnsi"/>
          <w:noProof/>
          <w:kern w:val="0"/>
          <w:lang w:val="en-US"/>
        </w:rPr>
        <w:t>(Stanfors &amp; Jacobs, 2023)</w:t>
      </w:r>
      <w:r>
        <w:rPr>
          <w:rFonts w:cstheme="minorHAnsi"/>
          <w:kern w:val="0"/>
          <w:lang w:val="en-US"/>
        </w:rPr>
        <w:fldChar w:fldCharType="end"/>
      </w:r>
      <w:r w:rsidR="00A84D48">
        <w:rPr>
          <w:rFonts w:cstheme="minorHAnsi"/>
          <w:kern w:val="0"/>
          <w:lang w:val="en-US"/>
        </w:rPr>
        <w:t xml:space="preserve">. </w:t>
      </w:r>
      <w:r w:rsidR="00CC16E4">
        <w:rPr>
          <w:rFonts w:cstheme="minorHAnsi"/>
          <w:kern w:val="0"/>
          <w:lang w:val="en-US"/>
        </w:rPr>
        <w:t>Family-w</w:t>
      </w:r>
      <w:r w:rsidR="00A84D48">
        <w:rPr>
          <w:rFonts w:cstheme="minorHAnsi"/>
          <w:kern w:val="0"/>
          <w:lang w:val="en-US"/>
        </w:rPr>
        <w:t xml:space="preserve">ork conflicts is defined as: </w:t>
      </w:r>
      <w:r w:rsidR="00A84D48" w:rsidRPr="00FE4B03">
        <w:rPr>
          <w:lang w:val="en-US"/>
        </w:rPr>
        <w:t xml:space="preserve">“A form of interrole conflict in which the role pressures from the work and family domains are mutually incompatible in some respect” </w:t>
      </w:r>
      <w:r w:rsidR="00A84D48" w:rsidRPr="00FE4B03">
        <w:rPr>
          <w:lang w:val="en-US"/>
        </w:rPr>
        <w:fldChar w:fldCharType="begin" w:fldLock="1"/>
      </w:r>
      <w:r w:rsidR="00A84D48">
        <w:rPr>
          <w:lang w:val="en-US"/>
        </w:rPr>
        <w:instrText>ADDIN CSL_CITATION {"citationItems":[{"id":"ITEM-1","itemData":{"DOI":"10.1037/a0022170","ISSN":"10768998","PMID":"21280939","abstract":"A literature review of studies analyzing work-family conflict and its consequences was conducted, and 427 effect sizes were analyzed meta-analytically. Work-family conflict was analyzed bidirectionally in terms of work interference with family (WIF) and family interference with work (FIW). We assessed 3 categories of potential outcomes: work-related outcomes, family-related outcomes, and domain-unspecific outcomes. Results show that WIF and FIW are consistently related to all 3 types of outcomes. Both types of interrole conflict showed stronger relationships to same-domain outcomes than to cross-domain outcomes. Thus, WIF was more strongly associated with work-related than with family-related outcomes, and FIW was more strongly associated with family-related than with work-related outcomes. In moderator analyses, parenthood could not explain variability in effect sizes. However, time spent at work did moderate the relationships between WIF and family-related outcomes, as well as FIW and domain-unspecific outcomes. © 2011 American Psychological Association.","author":[{"dropping-particle":"","family":"Amstad","given":"Fabienne T.","non-dropping-particle":"","parse-names":false,"suffix":""},{"dropping-particle":"","family":"Meier","given":"Laurenz L.","non-dropping-particle":"","parse-names":false,"suffix":""},{"dropping-particle":"","family":"Fasel","given":"Ursula","non-dropping-particle":"","parse-names":false,"suffix":""},{"dropping-particle":"","family":"Elfering","given":"Achim","non-dropping-particle":"","parse-names":false,"suffix":""},{"dropping-particle":"","family":"Semmer","given":"Norbert K.","non-dropping-particle":"","parse-names":false,"suffix":""}],"container-title":"Journal of Occupational Health Psychology","id":"ITEM-1","issue":"2","issued":{"date-parts":[["2011"]]},"page":"151-169","title":"A Meta-Analysis of Work-Family Conflict and Various Outcomes With a Special Emphasis on Cross-Domain Versus Matching-Domain Relations","type":"article-journal","volume":"16"},"locator":"151","uris":["http://www.mendeley.com/documents/?uuid=f43077dd-34ad-4c48-a823-ca75cef9d3fa"]}],"mendeley":{"formattedCitation":"(Amstad et al., 2011, p. 151)","plainTextFormattedCitation":"(Amstad et al., 2011, p. 151)","previouslyFormattedCitation":"(Amstad et al., 2011, p. 151)"},"properties":{"noteIndex":0},"schema":"https://github.com/citation-style-language/schema/raw/master/csl-citation.json"}</w:instrText>
      </w:r>
      <w:r w:rsidR="00A84D48" w:rsidRPr="00FE4B03">
        <w:rPr>
          <w:lang w:val="en-US"/>
        </w:rPr>
        <w:fldChar w:fldCharType="separate"/>
      </w:r>
      <w:r w:rsidR="00A84D48" w:rsidRPr="00FE4B03">
        <w:rPr>
          <w:noProof/>
          <w:lang w:val="en-US"/>
        </w:rPr>
        <w:t>(Amstad et al., 2011, p. 151)</w:t>
      </w:r>
      <w:r w:rsidR="00A84D48" w:rsidRPr="00FE4B03">
        <w:rPr>
          <w:lang w:val="en-US"/>
        </w:rPr>
        <w:fldChar w:fldCharType="end"/>
      </w:r>
      <w:r w:rsidR="00A84D48">
        <w:rPr>
          <w:rFonts w:cstheme="minorHAnsi"/>
          <w:kern w:val="0"/>
          <w:lang w:val="en-US"/>
        </w:rPr>
        <w:t xml:space="preserve">. Both family-work conflicts as well as several work characteristics in the eldercare, may </w:t>
      </w:r>
      <w:r w:rsidR="00B65BCC" w:rsidRPr="00BD372F">
        <w:rPr>
          <w:rFonts w:cstheme="minorHAnsi"/>
          <w:kern w:val="0"/>
          <w:lang w:val="en-US"/>
        </w:rPr>
        <w:t>have negative consequences for</w:t>
      </w:r>
      <w:r w:rsidR="00A84D48">
        <w:rPr>
          <w:rFonts w:cstheme="minorHAnsi"/>
          <w:kern w:val="0"/>
          <w:lang w:val="en-US"/>
        </w:rPr>
        <w:t>,</w:t>
      </w:r>
      <w:r w:rsidR="00B65BCC" w:rsidRPr="00BD372F">
        <w:rPr>
          <w:rFonts w:cstheme="minorHAnsi"/>
          <w:kern w:val="0"/>
          <w:lang w:val="en-US"/>
        </w:rPr>
        <w:t xml:space="preserve"> </w:t>
      </w:r>
      <w:r>
        <w:rPr>
          <w:rFonts w:cstheme="minorHAnsi"/>
          <w:kern w:val="0"/>
          <w:lang w:val="en-US"/>
        </w:rPr>
        <w:t xml:space="preserve">especially </w:t>
      </w:r>
      <w:r w:rsidR="00A84D48">
        <w:rPr>
          <w:rFonts w:cstheme="minorHAnsi"/>
          <w:kern w:val="0"/>
          <w:lang w:val="en-US"/>
        </w:rPr>
        <w:t>older workers</w:t>
      </w:r>
      <w:r w:rsidR="00E34F92">
        <w:rPr>
          <w:rFonts w:cstheme="minorHAnsi"/>
          <w:kern w:val="0"/>
          <w:lang w:val="en-US"/>
        </w:rPr>
        <w:t>’</w:t>
      </w:r>
      <w:r w:rsidR="00A84D48">
        <w:rPr>
          <w:rFonts w:cstheme="minorHAnsi"/>
          <w:kern w:val="0"/>
          <w:lang w:val="en-US"/>
        </w:rPr>
        <w:t>,</w:t>
      </w:r>
      <w:r w:rsidR="00B65BCC" w:rsidRPr="00BD372F">
        <w:rPr>
          <w:rFonts w:cstheme="minorHAnsi"/>
          <w:kern w:val="0"/>
          <w:lang w:val="en-US"/>
        </w:rPr>
        <w:t xml:space="preserve"> </w:t>
      </w:r>
      <w:r w:rsidRPr="00BD372F">
        <w:rPr>
          <w:rFonts w:cstheme="minorHAnsi"/>
          <w:kern w:val="0"/>
          <w:lang w:val="en-US"/>
        </w:rPr>
        <w:t>labor</w:t>
      </w:r>
      <w:r w:rsidR="00B65BCC" w:rsidRPr="00BD372F">
        <w:rPr>
          <w:rFonts w:cstheme="minorHAnsi"/>
          <w:kern w:val="0"/>
          <w:lang w:val="en-US"/>
        </w:rPr>
        <w:t xml:space="preserve"> market participa</w:t>
      </w:r>
      <w:r w:rsidR="00E34F92">
        <w:rPr>
          <w:rFonts w:cstheme="minorHAnsi"/>
          <w:kern w:val="0"/>
          <w:lang w:val="en-US"/>
        </w:rPr>
        <w:t>tion</w:t>
      </w:r>
      <w:r w:rsidR="00B65BCC" w:rsidRPr="00BD372F">
        <w:rPr>
          <w:rFonts w:cstheme="minorHAnsi"/>
          <w:kern w:val="0"/>
          <w:lang w:val="en-US"/>
        </w:rPr>
        <w:t xml:space="preserve"> (Ekman et al, 2021).</w:t>
      </w:r>
      <w:r w:rsidR="00B65BCC">
        <w:rPr>
          <w:rFonts w:cstheme="minorHAnsi"/>
          <w:kern w:val="0"/>
          <w:lang w:val="en-US"/>
        </w:rPr>
        <w:t xml:space="preserve"> </w:t>
      </w:r>
      <w:r w:rsidR="00A84D48" w:rsidRPr="00A84D48">
        <w:rPr>
          <w:rFonts w:cstheme="minorHAnsi"/>
          <w:kern w:val="0"/>
          <w:lang w:val="en-US"/>
        </w:rPr>
        <w:t>However,</w:t>
      </w:r>
      <w:r w:rsidR="003F1B17">
        <w:rPr>
          <w:rFonts w:cstheme="minorHAnsi"/>
          <w:kern w:val="0"/>
          <w:lang w:val="en-US"/>
        </w:rPr>
        <w:t xml:space="preserve"> the interplay between</w:t>
      </w:r>
      <w:r w:rsidR="00A84D48" w:rsidRPr="00A84D48">
        <w:rPr>
          <w:rFonts w:cstheme="minorHAnsi"/>
          <w:kern w:val="0"/>
          <w:lang w:val="en-US"/>
        </w:rPr>
        <w:t xml:space="preserve"> </w:t>
      </w:r>
      <w:r w:rsidR="00192566">
        <w:rPr>
          <w:rFonts w:cstheme="minorHAnsi"/>
          <w:kern w:val="0"/>
          <w:lang w:val="en-US"/>
        </w:rPr>
        <w:t xml:space="preserve">work characteristics and family related </w:t>
      </w:r>
      <w:r w:rsidR="00A84D48" w:rsidRPr="00A84D48">
        <w:rPr>
          <w:rFonts w:cstheme="minorHAnsi"/>
          <w:kern w:val="0"/>
          <w:lang w:val="en-US"/>
        </w:rPr>
        <w:t xml:space="preserve">factors involved in the retirement timing process among older workers in an eldercare context are understudied </w:t>
      </w:r>
      <w:r w:rsidR="00A84D48" w:rsidRPr="00A84D48">
        <w:rPr>
          <w:rFonts w:cstheme="minorHAnsi"/>
          <w:kern w:val="0"/>
          <w:lang w:val="en-US"/>
        </w:rPr>
        <w:fldChar w:fldCharType="begin" w:fldLock="1"/>
      </w:r>
      <w:r w:rsidR="00A84D48" w:rsidRPr="00A84D48">
        <w:rPr>
          <w:rFonts w:cstheme="minorHAnsi"/>
          <w:kern w:val="0"/>
          <w:lang w:val="en-US"/>
        </w:rPr>
        <w:instrText>ADDIN CSL_CITATION {"citationItems":[{"id":"ITEM-1","itemData":{"DOI":"10.1177/0961463X20914099","ISSN":"14617463","abstract":"Like many other countries, Australian government policy focuses on extending working life as a response to concern about the cost of an ageing population. In this article, we focus on older aged care workers and highlight how poor employment conditions hinder their capacity to work in later life. Many of these workers are at risk of time and income poverty, since they are on low wage, part-time, low-hour contracts and need to pick up extra shifts to earn a living wage. The interactions between time poverty and income poverty have been developed within a body of literature that analyses the quantities of time individuals and households allocate to paid employment, household, family and caring responsibilities, sleep and self-care. Burchardt’s notion of ‘time and income capability’ brings insights from this corpus into dialogue with the capabilities approach, a political philosophy that equates wellbeing with the breadth of realistic opportunities for people to do things that they have reason to value. This study uses Burchardt’s construct to analyse qualitative data from interviews with 20 older personal care workers. While all the workers we spoke with engaged in self-sustaining practices, there were varying levels of opportunity to pursue them. Workers with less time and income capability found it more difficult to sustain themselves and their households. Some employer practices diminished workers’ time and income capability: unrealistic workloads necessitating unpaid hours; providing little opportunity for input into rostering; and late-notice roster changes. When time and income capability was too low, workers’ informal care duties, social connections and health were compromised. In the Australian aged care sector, several changes can enable longer working lives: sufficient paid hours to perform the role, wage loading for hours in addition to those contracted, written notice for roster changes, and increased wages.","author":[{"dropping-particle":"","family":"Hart","given":"Aaron","non-dropping-particle":"","parse-names":false,"suffix":""},{"dropping-particle":"","family":"Bowman","given":"Dina","non-dropping-particle":"","parse-names":false,"suffix":""},{"dropping-particle":"","family":"Mallett","given":"Shelley","non-dropping-particle":"","parse-names":false,"suffix":""}],"container-title":"Time and Society","id":"ITEM-1","issue":"4","issued":{"date-parts":[["2020"]]},"page":"945-965","title":"Scheduling longer working lives for older aged care workers: A time and income capability approach","type":"article-journal","volume":"29"},"uris":["http://www.mendeley.com/documents/?uuid=182e5ba0-e913-42e7-888d-bc8cabc748f9"]}],"mendeley":{"formattedCitation":"(Hart et al., 2020)","plainTextFormattedCitation":"(Hart et al., 2020)","previouslyFormattedCitation":"(Hart et al., 2020)"},"properties":{"noteIndex":0},"schema":"https://github.com/citation-style-language/schema/raw/master/csl-citation.json"}</w:instrText>
      </w:r>
      <w:r w:rsidR="00A84D48" w:rsidRPr="00A84D48">
        <w:rPr>
          <w:rFonts w:cstheme="minorHAnsi"/>
          <w:kern w:val="0"/>
          <w:lang w:val="en-US"/>
        </w:rPr>
        <w:fldChar w:fldCharType="separate"/>
      </w:r>
      <w:r w:rsidR="00A84D48" w:rsidRPr="00A84D48">
        <w:rPr>
          <w:rFonts w:cstheme="minorHAnsi"/>
          <w:noProof/>
          <w:kern w:val="0"/>
          <w:lang w:val="en-US"/>
        </w:rPr>
        <w:t>(Hart et al., 2020)</w:t>
      </w:r>
      <w:r w:rsidR="00A84D48" w:rsidRPr="00A84D48">
        <w:rPr>
          <w:rFonts w:cstheme="minorHAnsi"/>
          <w:kern w:val="0"/>
          <w:lang w:val="en-US"/>
        </w:rPr>
        <w:fldChar w:fldCharType="end"/>
      </w:r>
      <w:r w:rsidR="00A84D48" w:rsidRPr="00A84D48">
        <w:rPr>
          <w:rFonts w:cstheme="minorHAnsi"/>
          <w:kern w:val="0"/>
          <w:lang w:val="en-US"/>
        </w:rPr>
        <w:t>.</w:t>
      </w:r>
      <w:r w:rsidR="00192566">
        <w:rPr>
          <w:rFonts w:cstheme="minorHAnsi"/>
          <w:kern w:val="0"/>
          <w:lang w:val="en-US"/>
        </w:rPr>
        <w:t xml:space="preserve"> Therefore, t</w:t>
      </w:r>
      <w:r w:rsidR="001B3517">
        <w:rPr>
          <w:rFonts w:cstheme="minorHAnsi"/>
          <w:lang w:val="en-US"/>
        </w:rPr>
        <w:t xml:space="preserve">his </w:t>
      </w:r>
      <w:r w:rsidR="001B3517" w:rsidRPr="00223E95">
        <w:rPr>
          <w:rFonts w:cstheme="minorHAnsi"/>
          <w:lang w:val="en-US"/>
        </w:rPr>
        <w:t xml:space="preserve">study aimed to </w:t>
      </w:r>
      <w:r w:rsidR="001B3517">
        <w:rPr>
          <w:rFonts w:cstheme="minorHAnsi"/>
          <w:lang w:val="en-US"/>
        </w:rPr>
        <w:t>explore the contribution of</w:t>
      </w:r>
      <w:r w:rsidR="001B3517" w:rsidRPr="00223E95">
        <w:rPr>
          <w:rFonts w:cstheme="minorHAnsi"/>
          <w:lang w:val="en-US"/>
        </w:rPr>
        <w:t xml:space="preserve"> health</w:t>
      </w:r>
      <w:r w:rsidR="001B3517">
        <w:rPr>
          <w:rFonts w:cstheme="minorHAnsi"/>
          <w:lang w:val="en-US"/>
        </w:rPr>
        <w:t xml:space="preserve"> (self-rated health, work ability and partners health)</w:t>
      </w:r>
      <w:r w:rsidR="001B3517" w:rsidRPr="00223E95">
        <w:rPr>
          <w:rFonts w:cstheme="minorHAnsi"/>
          <w:lang w:val="en-US"/>
        </w:rPr>
        <w:t xml:space="preserve">, </w:t>
      </w:r>
      <w:r w:rsidR="001B3517">
        <w:rPr>
          <w:rFonts w:cstheme="minorHAnsi"/>
          <w:lang w:val="en-US"/>
        </w:rPr>
        <w:t xml:space="preserve">work characteristics (job demands, control and </w:t>
      </w:r>
      <w:r w:rsidR="001B3517">
        <w:rPr>
          <w:rFonts w:cstheme="minorHAnsi"/>
          <w:lang w:val="en-US"/>
        </w:rPr>
        <w:lastRenderedPageBreak/>
        <w:t>social support),</w:t>
      </w:r>
      <w:r w:rsidR="001B3517" w:rsidRPr="00223E95">
        <w:rPr>
          <w:rFonts w:cstheme="minorHAnsi"/>
          <w:lang w:val="en-US"/>
        </w:rPr>
        <w:t xml:space="preserve"> and </w:t>
      </w:r>
      <w:r w:rsidR="001B3517">
        <w:rPr>
          <w:rFonts w:cstheme="minorHAnsi"/>
          <w:lang w:val="en-US"/>
        </w:rPr>
        <w:t>family to work</w:t>
      </w:r>
      <w:r w:rsidR="001B3517" w:rsidRPr="00223E95">
        <w:rPr>
          <w:rFonts w:cstheme="minorHAnsi"/>
          <w:lang w:val="en-US"/>
        </w:rPr>
        <w:t xml:space="preserve"> conflict</w:t>
      </w:r>
      <w:r w:rsidR="001B3517">
        <w:rPr>
          <w:rFonts w:cstheme="minorHAnsi"/>
          <w:lang w:val="en-US"/>
        </w:rPr>
        <w:t xml:space="preserve"> and enhancement</w:t>
      </w:r>
      <w:r w:rsidR="001B3517" w:rsidRPr="00223E95">
        <w:rPr>
          <w:rFonts w:cstheme="minorHAnsi"/>
          <w:lang w:val="en-US"/>
        </w:rPr>
        <w:t xml:space="preserve"> </w:t>
      </w:r>
      <w:r w:rsidR="001B3517">
        <w:rPr>
          <w:rFonts w:cstheme="minorHAnsi"/>
          <w:lang w:val="en-US"/>
        </w:rPr>
        <w:t>on retirement timing (expected retirement age) among older eldercare workers in Sweden</w:t>
      </w:r>
      <w:r w:rsidR="001B3517" w:rsidRPr="00223E95">
        <w:rPr>
          <w:rFonts w:cstheme="minorHAnsi"/>
          <w:lang w:val="en-US"/>
        </w:rPr>
        <w:t>.</w:t>
      </w:r>
      <w:r w:rsidR="00C07C90">
        <w:rPr>
          <w:rFonts w:cstheme="minorHAnsi"/>
          <w:kern w:val="0"/>
          <w:lang w:val="en-US"/>
        </w:rPr>
        <w:t xml:space="preserve"> </w:t>
      </w:r>
    </w:p>
    <w:p w14:paraId="45D8EA09" w14:textId="77777777" w:rsidR="00A84D48" w:rsidRDefault="00A84D48" w:rsidP="00A84D48">
      <w:pPr>
        <w:autoSpaceDE w:val="0"/>
        <w:autoSpaceDN w:val="0"/>
        <w:adjustRightInd w:val="0"/>
        <w:spacing w:after="0" w:line="360" w:lineRule="auto"/>
        <w:ind w:right="953"/>
        <w:rPr>
          <w:rFonts w:cstheme="minorHAnsi"/>
          <w:kern w:val="0"/>
          <w:lang w:val="en-US"/>
        </w:rPr>
      </w:pPr>
    </w:p>
    <w:p w14:paraId="1F0A094E" w14:textId="77777777" w:rsidR="00AD5D36" w:rsidRPr="00AD5D36" w:rsidRDefault="00AD5D36" w:rsidP="00AD5D36">
      <w:pPr>
        <w:autoSpaceDE w:val="0"/>
        <w:autoSpaceDN w:val="0"/>
        <w:adjustRightInd w:val="0"/>
        <w:spacing w:after="0" w:line="360" w:lineRule="auto"/>
        <w:ind w:left="567" w:right="953"/>
        <w:rPr>
          <w:rFonts w:cstheme="minorHAnsi"/>
          <w:i/>
          <w:iCs/>
          <w:kern w:val="0"/>
          <w:sz w:val="24"/>
          <w:szCs w:val="24"/>
          <w:lang w:val="en-US"/>
        </w:rPr>
      </w:pPr>
      <w:r w:rsidRPr="00AD5D36">
        <w:rPr>
          <w:rFonts w:cstheme="minorHAnsi"/>
          <w:i/>
          <w:iCs/>
          <w:kern w:val="0"/>
          <w:sz w:val="24"/>
          <w:szCs w:val="24"/>
          <w:lang w:val="en-US"/>
        </w:rPr>
        <w:t xml:space="preserve">Work characteristics </w:t>
      </w:r>
    </w:p>
    <w:p w14:paraId="082E5929" w14:textId="61105E6D" w:rsidR="00F03F1C" w:rsidRDefault="00AD5D36" w:rsidP="00330948">
      <w:pPr>
        <w:autoSpaceDE w:val="0"/>
        <w:autoSpaceDN w:val="0"/>
        <w:adjustRightInd w:val="0"/>
        <w:spacing w:after="0" w:line="360" w:lineRule="auto"/>
        <w:ind w:left="567" w:right="953"/>
        <w:rPr>
          <w:rFonts w:cstheme="minorHAnsi"/>
          <w:kern w:val="0"/>
          <w:lang w:val="en-US"/>
        </w:rPr>
      </w:pPr>
      <w:r w:rsidRPr="00767EE1">
        <w:rPr>
          <w:rFonts w:cstheme="minorHAnsi"/>
          <w:kern w:val="0"/>
          <w:lang w:val="en-US"/>
        </w:rPr>
        <w:t>According to previous literature</w:t>
      </w:r>
      <w:r w:rsidRPr="00A84D48">
        <w:rPr>
          <w:rFonts w:cstheme="minorHAnsi"/>
          <w:kern w:val="0"/>
          <w:lang w:val="en-US"/>
        </w:rPr>
        <w:t xml:space="preserve">, </w:t>
      </w:r>
      <w:r w:rsidRPr="00767EE1">
        <w:rPr>
          <w:rFonts w:cstheme="minorHAnsi"/>
          <w:kern w:val="0"/>
          <w:lang w:val="en-US"/>
        </w:rPr>
        <w:t xml:space="preserve">working conditions are </w:t>
      </w:r>
      <w:r>
        <w:rPr>
          <w:rFonts w:cstheme="minorHAnsi"/>
          <w:kern w:val="0"/>
          <w:lang w:val="en-US"/>
        </w:rPr>
        <w:t xml:space="preserve">one of </w:t>
      </w:r>
      <w:r w:rsidRPr="00767EE1">
        <w:rPr>
          <w:rFonts w:cstheme="minorHAnsi"/>
          <w:kern w:val="0"/>
          <w:lang w:val="en-US"/>
        </w:rPr>
        <w:t xml:space="preserve">the most influential factors affecting retirement timing </w:t>
      </w:r>
      <w:r>
        <w:rPr>
          <w:rFonts w:cstheme="minorHAnsi"/>
          <w:kern w:val="0"/>
          <w:lang w:val="en-US"/>
        </w:rPr>
        <w:fldChar w:fldCharType="begin" w:fldLock="1"/>
      </w:r>
      <w:r w:rsidRPr="00767EE1">
        <w:rPr>
          <w:rFonts w:cstheme="minorHAnsi"/>
          <w:kern w:val="0"/>
          <w:lang w:val="en-US"/>
        </w:rPr>
        <w:instrText>ADDIN CSL_CITATION {"citationItems":[{"id":"ITEM-1","itemData":{"DOI":"1</w:instrText>
      </w:r>
      <w:r>
        <w:rPr>
          <w:rFonts w:cstheme="minorHAnsi"/>
          <w:kern w:val="0"/>
          <w:lang w:val="en-US"/>
        </w:rPr>
        <w:instrText>0.1177/1038411108099291","ISSN":"10384111","abstract":"This paper examined the impact of certain work-related variables on older workers' intentions to continue paid work and whether the impact of these work-related variables varies between men and women. Data were collected through a questionnaire survey of a sample of 379 employees, aged 50 years and older, working in a large public sector organisation in Australia. Results identified the work-related variables that influence older workers' intentions to continue paid work as importance of work, flexibility and interests outside of work, irrespective of gender. Results also indicated that a greater understanding can result if differences between males' and females' intentions are examined. The findings suggest a significant level of differentiation, based on gender, in relation to autonomy, work environment and interests outside work. Management will need to consider these important work-related variables in addressing attrition and turnover challenges and formulating human resource forecasts and specific strategies for increasing the retention of older workers. Copyright © 2009 Australian Human Resources Institute.","author":[{"dropping-particle":"","family":"Shacklock","given":"Kate","non-dropping-particle":"","parse-names":false,"suffix":""},{"dropping-particle":"","family":"Brunetto","given":"Yvonne","non-dropping-particle":"","parse-names":false,"suffix":""},{"dropping-particle":"","family":"Nelson","given":"Silvia","non-dropping-particle":"","parse-names":false,"suffix":""}],"container-title":"Asia Pacific Journal of Human Resources","id":"ITEM-1","issue":"1","issued":{"date-parts":[["2009"]]},"page":"79-101","title":"The different variables that affect older males' and females' intentions to continue working","type":"article-journal","volume":"47"},"uris":["http://www.mendeley.com/documents/?uuid=6f2ca6a0-62cc-4aab-8ff7-f4f79cf606a0"]}],"mendeley":{"formattedCitation":"(Shacklock et al., 2009)","manualFormatting":"(e.g., Shacklock et al., 2009)","plainTextFormattedCitation":"(Shacklock et al., 2009)","previouslyFormattedCitation":"(Shacklock et al., 2009)"},"properties":{"noteIndex":0},"schema":"https://github.com/citation-style-language/schema/raw/master/csl-citation.json"}</w:instrText>
      </w:r>
      <w:r>
        <w:rPr>
          <w:rFonts w:cstheme="minorHAnsi"/>
          <w:kern w:val="0"/>
          <w:lang w:val="en-US"/>
        </w:rPr>
        <w:fldChar w:fldCharType="separate"/>
      </w:r>
      <w:r w:rsidRPr="00B63BEF">
        <w:rPr>
          <w:rFonts w:cstheme="minorHAnsi"/>
          <w:noProof/>
          <w:kern w:val="0"/>
          <w:lang w:val="en-US"/>
        </w:rPr>
        <w:t>(</w:t>
      </w:r>
      <w:r>
        <w:rPr>
          <w:rFonts w:cstheme="minorHAnsi"/>
          <w:noProof/>
          <w:kern w:val="0"/>
          <w:lang w:val="en-US"/>
        </w:rPr>
        <w:t xml:space="preserve">e.g., </w:t>
      </w:r>
      <w:r w:rsidRPr="00B63BEF">
        <w:rPr>
          <w:rFonts w:cstheme="minorHAnsi"/>
          <w:noProof/>
          <w:kern w:val="0"/>
          <w:lang w:val="en-US"/>
        </w:rPr>
        <w:t>Shacklock et al., 2009)</w:t>
      </w:r>
      <w:r>
        <w:rPr>
          <w:rFonts w:cstheme="minorHAnsi"/>
          <w:kern w:val="0"/>
          <w:lang w:val="en-US"/>
        </w:rPr>
        <w:fldChar w:fldCharType="end"/>
      </w:r>
      <w:r>
        <w:rPr>
          <w:rFonts w:cstheme="minorHAnsi"/>
          <w:kern w:val="0"/>
          <w:lang w:val="en-US"/>
        </w:rPr>
        <w:t xml:space="preserve">. </w:t>
      </w:r>
      <w:r w:rsidR="0036686E">
        <w:rPr>
          <w:rFonts w:cstheme="minorHAnsi"/>
          <w:kern w:val="0"/>
          <w:lang w:val="en-US"/>
        </w:rPr>
        <w:t>Working conditions are especially evident in the Swedish eldercare as they have</w:t>
      </w:r>
      <w:r w:rsidR="0036686E" w:rsidRPr="000726FC">
        <w:rPr>
          <w:rFonts w:cstheme="minorHAnsi"/>
          <w:kern w:val="0"/>
          <w:lang w:val="en-US"/>
        </w:rPr>
        <w:t xml:space="preserve"> gradually decl</w:t>
      </w:r>
      <w:r w:rsidR="0036686E">
        <w:rPr>
          <w:rFonts w:cstheme="minorHAnsi"/>
          <w:kern w:val="0"/>
          <w:lang w:val="en-US"/>
        </w:rPr>
        <w:t>ine</w:t>
      </w:r>
      <w:r w:rsidR="00E55869">
        <w:rPr>
          <w:rFonts w:cstheme="minorHAnsi"/>
          <w:kern w:val="0"/>
          <w:lang w:val="en-US"/>
        </w:rPr>
        <w:t>d</w:t>
      </w:r>
      <w:r w:rsidR="0036686E" w:rsidRPr="000726FC">
        <w:rPr>
          <w:rFonts w:cstheme="minorHAnsi"/>
          <w:kern w:val="0"/>
          <w:lang w:val="en-US"/>
        </w:rPr>
        <w:t xml:space="preserve"> </w:t>
      </w:r>
      <w:r w:rsidR="0036686E">
        <w:rPr>
          <w:rFonts w:cstheme="minorHAnsi"/>
          <w:kern w:val="0"/>
          <w:lang w:val="en-US"/>
        </w:rPr>
        <w:t xml:space="preserve">over time </w:t>
      </w:r>
      <w:r w:rsidR="0036686E">
        <w:rPr>
          <w:rFonts w:cstheme="minorHAnsi"/>
          <w:kern w:val="0"/>
        </w:rPr>
        <w:fldChar w:fldCharType="begin" w:fldLock="1"/>
      </w:r>
      <w:r w:rsidR="0036686E">
        <w:rPr>
          <w:rFonts w:cstheme="minorHAnsi"/>
          <w:kern w:val="0"/>
          <w:lang w:val="en-US"/>
        </w:rPr>
        <w:instrText>ADDIN CSL_CITATION {"citationItems":[{"id":"ITEM-1","itemData":{"author":[{"dropping-particle":"","family":"Szebehely","given":"Marta","non-dropping-particle":"","parse-names":false,"suffix":""},{"dropping-particle":"","family":"Stranz","given":"Anneli","non-dropping-particle":"","parse-names":false,"suffix":""},{"dropping-particle":"","family":"Strandell","given":"Rebecka","non-dropping-particle":"","parse-names":false,"suffix":""}],"id":"ITEM-1","issued":{"date-parts":[["2017"]]},"page":"1-50","title":"Vem ska arbeta i framtidens äldreomsorg? (Who will Work in the Elderly Care of the Future?)","type":"article-journal"},"uris":["http://www.mendeley.com/documents/?uuid=a48315d9-4e52-42e2-a899-aaaf876a893f"]}],"mendeley":{"formattedCitation":"(Szebehely et al., 2017)","plainTextFormattedCitation":"(Szebehely et al., 2017)","previouslyFormattedCitation":"(Szebehely et al., 2017)"},"properties":{"noteIndex":0},"schema":"https://github.com/citation-style-language/schema/raw/master/csl-citation.json"}</w:instrText>
      </w:r>
      <w:r w:rsidR="0036686E">
        <w:rPr>
          <w:rFonts w:cstheme="minorHAnsi"/>
          <w:kern w:val="0"/>
        </w:rPr>
        <w:fldChar w:fldCharType="separate"/>
      </w:r>
      <w:r w:rsidR="0036686E" w:rsidRPr="00A92816">
        <w:rPr>
          <w:rFonts w:cstheme="minorHAnsi"/>
          <w:noProof/>
          <w:kern w:val="0"/>
          <w:lang w:val="en-US"/>
        </w:rPr>
        <w:t>(Szebehely et al., 2017)</w:t>
      </w:r>
      <w:r w:rsidR="0036686E">
        <w:rPr>
          <w:rFonts w:cstheme="minorHAnsi"/>
          <w:kern w:val="0"/>
        </w:rPr>
        <w:fldChar w:fldCharType="end"/>
      </w:r>
      <w:r w:rsidR="0036686E">
        <w:rPr>
          <w:rFonts w:cstheme="minorHAnsi"/>
          <w:kern w:val="0"/>
          <w:lang w:val="en-US"/>
        </w:rPr>
        <w:t xml:space="preserve">, which may </w:t>
      </w:r>
      <w:r w:rsidR="00E55869">
        <w:rPr>
          <w:rFonts w:cstheme="minorHAnsi"/>
          <w:kern w:val="0"/>
          <w:lang w:val="en-US"/>
        </w:rPr>
        <w:t>form an</w:t>
      </w:r>
      <w:r w:rsidR="0036686E" w:rsidRPr="00693A29">
        <w:rPr>
          <w:rFonts w:cstheme="minorHAnsi"/>
          <w:kern w:val="0"/>
          <w:lang w:val="en-US"/>
        </w:rPr>
        <w:t xml:space="preserve"> obstacles to extending working life</w:t>
      </w:r>
      <w:r w:rsidR="0036686E">
        <w:rPr>
          <w:rFonts w:cstheme="minorHAnsi"/>
          <w:kern w:val="0"/>
          <w:lang w:val="en-US"/>
        </w:rPr>
        <w:t xml:space="preserve"> among older eldercare staff. </w:t>
      </w:r>
      <w:r>
        <w:rPr>
          <w:rFonts w:cstheme="minorHAnsi"/>
          <w:kern w:val="0"/>
          <w:lang w:val="en-US"/>
        </w:rPr>
        <w:t xml:space="preserve">However, </w:t>
      </w:r>
      <w:r w:rsidR="00682763">
        <w:rPr>
          <w:rFonts w:cstheme="minorHAnsi"/>
          <w:kern w:val="0"/>
          <w:lang w:val="en-US"/>
        </w:rPr>
        <w:t>what,</w:t>
      </w:r>
      <w:r w:rsidR="00330948">
        <w:rPr>
          <w:rFonts w:cstheme="minorHAnsi"/>
          <w:kern w:val="0"/>
          <w:lang w:val="en-US"/>
        </w:rPr>
        <w:t xml:space="preserve"> and how </w:t>
      </w:r>
      <w:r>
        <w:rPr>
          <w:rFonts w:cstheme="minorHAnsi"/>
          <w:kern w:val="0"/>
          <w:lang w:val="en-US"/>
        </w:rPr>
        <w:t xml:space="preserve">specific work characteristic in the eldercare setting is </w:t>
      </w:r>
      <w:r w:rsidR="00330948">
        <w:rPr>
          <w:rFonts w:cstheme="minorHAnsi"/>
          <w:kern w:val="0"/>
          <w:lang w:val="en-US"/>
        </w:rPr>
        <w:t xml:space="preserve">associated with retirement timing is </w:t>
      </w:r>
      <w:r>
        <w:rPr>
          <w:rFonts w:cstheme="minorHAnsi"/>
          <w:kern w:val="0"/>
          <w:lang w:val="en-US"/>
        </w:rPr>
        <w:t xml:space="preserve">understudied, and some of the relatively few quantitative study findings are inconsistent with factors of significance for the general workforce. </w:t>
      </w:r>
    </w:p>
    <w:p w14:paraId="0CFC777D" w14:textId="77777777" w:rsidR="00F03F1C" w:rsidRDefault="00F03F1C" w:rsidP="00330948">
      <w:pPr>
        <w:autoSpaceDE w:val="0"/>
        <w:autoSpaceDN w:val="0"/>
        <w:adjustRightInd w:val="0"/>
        <w:spacing w:after="0" w:line="360" w:lineRule="auto"/>
        <w:ind w:left="567" w:right="953"/>
        <w:rPr>
          <w:rFonts w:cstheme="minorHAnsi"/>
          <w:kern w:val="0"/>
          <w:lang w:val="en-US"/>
        </w:rPr>
      </w:pPr>
    </w:p>
    <w:p w14:paraId="367E28BD" w14:textId="77777777" w:rsidR="00682763" w:rsidRDefault="00682763" w:rsidP="00682763">
      <w:pPr>
        <w:autoSpaceDE w:val="0"/>
        <w:autoSpaceDN w:val="0"/>
        <w:adjustRightInd w:val="0"/>
        <w:spacing w:after="0" w:line="360" w:lineRule="auto"/>
        <w:ind w:left="567" w:right="953"/>
        <w:rPr>
          <w:rFonts w:cstheme="minorHAnsi"/>
          <w:kern w:val="0"/>
          <w:lang w:val="en-US"/>
        </w:rPr>
      </w:pPr>
      <w:r>
        <w:rPr>
          <w:rFonts w:cstheme="minorHAnsi"/>
          <w:kern w:val="0"/>
          <w:lang w:val="en-US"/>
        </w:rPr>
        <w:t xml:space="preserve">A systematic </w:t>
      </w:r>
      <w:r w:rsidRPr="00A84D48">
        <w:rPr>
          <w:rFonts w:cstheme="minorHAnsi"/>
          <w:kern w:val="0"/>
          <w:lang w:val="en-US"/>
        </w:rPr>
        <w:t xml:space="preserve">review of factors involved in the retirement timing process in the general workforce concluded </w:t>
      </w:r>
      <w:r>
        <w:rPr>
          <w:rFonts w:cstheme="minorHAnsi"/>
          <w:kern w:val="0"/>
          <w:lang w:val="en-US"/>
        </w:rPr>
        <w:t xml:space="preserve">that several job resources, such as high job satisfaction and high job control, </w:t>
      </w:r>
      <w:r w:rsidRPr="00A84D48">
        <w:rPr>
          <w:rFonts w:cstheme="minorHAnsi"/>
          <w:kern w:val="0"/>
          <w:lang w:val="en-US"/>
        </w:rPr>
        <w:t xml:space="preserve">were associated with </w:t>
      </w:r>
      <w:r>
        <w:rPr>
          <w:rFonts w:cstheme="minorHAnsi"/>
          <w:kern w:val="0"/>
          <w:lang w:val="en-US"/>
        </w:rPr>
        <w:t>late</w:t>
      </w:r>
      <w:r w:rsidRPr="00A84D48">
        <w:rPr>
          <w:rFonts w:cstheme="minorHAnsi"/>
          <w:kern w:val="0"/>
          <w:lang w:val="en-US"/>
        </w:rPr>
        <w:t xml:space="preserve"> </w:t>
      </w:r>
      <w:r w:rsidRPr="00A84D48">
        <w:rPr>
          <w:rFonts w:cstheme="minorHAnsi"/>
          <w:kern w:val="0"/>
          <w:lang w:val="en-US"/>
        </w:rPr>
        <w:t xml:space="preserve">retirement </w:t>
      </w:r>
      <w:r>
        <w:rPr>
          <w:rFonts w:cstheme="minorHAnsi"/>
          <w:kern w:val="0"/>
          <w:lang w:val="en-US"/>
        </w:rPr>
        <w:t>intentions</w:t>
      </w:r>
      <w:r w:rsidRPr="00A84D48">
        <w:rPr>
          <w:rFonts w:cstheme="minorHAnsi"/>
          <w:kern w:val="0"/>
          <w:lang w:val="en-US"/>
        </w:rPr>
        <w:t xml:space="preserve"> </w:t>
      </w:r>
      <w:r w:rsidRPr="00A84D48">
        <w:rPr>
          <w:rFonts w:cstheme="minorHAnsi"/>
          <w:kern w:val="0"/>
          <w:lang w:val="en-US"/>
        </w:rPr>
        <w:fldChar w:fldCharType="begin" w:fldLock="1"/>
      </w:r>
      <w:r w:rsidRPr="00A84D48">
        <w:rPr>
          <w:rFonts w:cstheme="minorHAnsi"/>
          <w:kern w:val="0"/>
          <w:lang w:val="en-US"/>
        </w:rPr>
        <w:instrText>ADDIN CSL_CITATION {"citationItems":[{"id":"ITEM-1","itemData":{"DOI":"10.1007/s10433-018-0473-4","ISBN":"0123456789","ISSN":"16139380","abstract":"Psychosocial work characteristics are potential determinants of retirement intentions and actual retirement. A systematic review was conducted of the influence of psychosocial work characteristics on retirement intentions and actual retirement among the general population. This did not include people who were known to be ill or receiving disability pension. Relevant papers were identified by a search of PubMed, PsycINFO and Web of Science databases to December 2016. We included longitudinal and cross-sectional papers that assessed psychosocial work characteristics in relation to retirement intentions or actual retirement. Papers were filtered by title and abstract before data extraction was performed on full texts using a predetermined extraction sheet. Forty-six papers contained relevant evidence. High job satisfaction and high job control were associated with later retirement intentions and actual retirement. No consistent evidence was found for an association of job demands with retirement intentions or actual retirement. We conclude that to extend working lives policies should increase the job control available to older employees.","author":[{"dropping-particle":"","family":"Browne","given":"Peter","non-dropping-particle":"","parse-names":false,"suffix":""},{"dropping-particle":"","family":"Carr","given":"Ewan","non-dropping-particle":"","parse-names":false,"suffix":""},{"dropping-particle":"","family":"Fleischmann","given":"Maria","non-dropping-particle":"","parse-names":false,"suffix":""},{"dropping-particle":"","family":"Xue","given":"Baowen","non-dropping-particle":"","parse-names":false,"suffix":""},{"dropping-particle":"","family":"Stansfeld","given":"Stephen A.","non-dropping-particle":"","parse-names":false,"suffix":""}],"container-title":"European Journal of Ageing","id":"ITEM-1","issue":"1","issued":{"date-parts":[["2019"]]},"page":"73-82","publisher":"Springer Netherlands","title":"The relationship between workplace psychosocial environment and retirement intentions and actual retirement: A systematic review","type":"article-journal","volume":"16"},"uris":["http://www.mendeley.com/documents/?uuid=5d6842d3-4370-4b2d-8feb-eded9b607be6"]}],"mendeley":{"formattedCitation":"(Browne et al., 2019)","plainTextFormattedCitation":"(Browne et al., 2019)","previouslyFormattedCitation":"(Browne et al., 2019)"},"properties":{"noteIndex":0},"schema":"https://github.com/citation-style-language/schema/raw/master/csl-citation.json"}</w:instrText>
      </w:r>
      <w:r w:rsidRPr="00A84D48">
        <w:rPr>
          <w:rFonts w:cstheme="minorHAnsi"/>
          <w:kern w:val="0"/>
          <w:lang w:val="en-US"/>
        </w:rPr>
        <w:fldChar w:fldCharType="separate"/>
      </w:r>
      <w:r w:rsidRPr="00A84D48">
        <w:rPr>
          <w:rFonts w:cstheme="minorHAnsi"/>
          <w:noProof/>
          <w:kern w:val="0"/>
          <w:lang w:val="en-US"/>
        </w:rPr>
        <w:t>(Browne et al., 2019)</w:t>
      </w:r>
      <w:r w:rsidRPr="00A84D48">
        <w:rPr>
          <w:rFonts w:cstheme="minorHAnsi"/>
          <w:kern w:val="0"/>
          <w:lang w:val="en-US"/>
        </w:rPr>
        <w:fldChar w:fldCharType="end"/>
      </w:r>
      <w:r w:rsidRPr="00A84D48">
        <w:rPr>
          <w:rFonts w:cstheme="minorHAnsi"/>
          <w:kern w:val="0"/>
          <w:lang w:val="en-US"/>
        </w:rPr>
        <w:t xml:space="preserve">. </w:t>
      </w:r>
      <w:r>
        <w:rPr>
          <w:rFonts w:cstheme="minorHAnsi"/>
          <w:kern w:val="0"/>
          <w:lang w:val="en-US"/>
        </w:rPr>
        <w:t xml:space="preserve">However, the authors found no consistent evidence for the association between high job demands and early retirement intentions. This result contrasts a systematic review of factors involved in the retirement timing process in the eldercare workforce, which concluded high physical job demands, but not emotional, were associated with early retirement intentions </w:t>
      </w:r>
      <w:r>
        <w:rPr>
          <w:rFonts w:cstheme="minorHAnsi"/>
          <w:kern w:val="0"/>
          <w:lang w:val="en-US"/>
        </w:rPr>
        <w:fldChar w:fldCharType="begin" w:fldLock="1"/>
      </w:r>
      <w:r>
        <w:rPr>
          <w:rFonts w:cstheme="minorHAnsi"/>
          <w:kern w:val="0"/>
          <w:lang w:val="en-US"/>
        </w:rPr>
        <w:instrText>ADDIN CSL_CITATION {"citationItems":[{"id":"ITEM-1","itemData":{"DOI":"10.1016/j.gerinurse.2024.01.005","ISSN":"15283984","abstract":"This systematic review synthesized prior quantitative research on individual, family, job, and organizational factors associated with retirement intentions (RI) among older long-term care (LTC) workers. Seven databases were searched for peer-reviewed studies. RI were defined as early (&lt;65 years) or late (&gt;65 years). To assess the methodological quality, we used JBI's checklists. The PRISMA statement guided this review. After duplicates were removed, 4 489 records were identified. A final sample of six articles was selected as eligible for inclusion. Current findings show weak social support, high physical job demands, and type of LTC occupation as important determinants for early RI. Strong social support and good job resources are important determinants fore late RI. In contrast to earlier research on other groups of older workers, this review shows no statistically associations between health nor emotional job demands and early RI for LTC workers. The results are discussed using the JD-R theory.","author":[{"dropping-particle":"","family":"Nordlinder","given":"Carolina","non-dropping-particle":"","parse-names":false,"suffix":""},{"dropping-particle":"","family":"Bergström","given":"Gunnar","non-dropping-particle":"","parse-names":false,"suffix":""},{"dropping-particle":"","family":"Tham","given":"Pia","non-dropping-particle":"","parse-names":false,"suffix":""},{"dropping-particle":"","family":"Öberg","given":"Peter","non-dropping-particle":"","parse-names":false,"suffix":""}],"container-title":"Geriatric Nursing","id":"ITEM-1","issued":{"date-parts":[["2024"]]},"page":"83-93","title":"Individual, family, job, and organizational factors associated with retirement intentions among older long-term care workers: A systematic review","type":"article-journal","volume":"56"},"uris":["http://www.mendeley.com/documents/?uuid=a12d4bcb-b551-4353-af00-38b040edb53d"]}],"mendeley":{"formattedCitation":"(Nordlinder et al., 2024)","plainTextFormattedCitation":"(Nordlinder et al., 2024)","previouslyFormattedCitation":"(Nordlinder et al., 2024)"},"properties":{"noteIndex":0},"schema":"https://github.com/citation-style-language/schema/raw/master/csl-citation.json"}</w:instrText>
      </w:r>
      <w:r>
        <w:rPr>
          <w:rFonts w:cstheme="minorHAnsi"/>
          <w:kern w:val="0"/>
          <w:lang w:val="en-US"/>
        </w:rPr>
        <w:fldChar w:fldCharType="separate"/>
      </w:r>
      <w:r w:rsidRPr="001B525D">
        <w:rPr>
          <w:rFonts w:cstheme="minorHAnsi"/>
          <w:noProof/>
          <w:kern w:val="0"/>
          <w:lang w:val="en-US"/>
        </w:rPr>
        <w:t>(Nordlinder et al., 2024)</w:t>
      </w:r>
      <w:r>
        <w:rPr>
          <w:rFonts w:cstheme="minorHAnsi"/>
          <w:kern w:val="0"/>
          <w:lang w:val="en-US"/>
        </w:rPr>
        <w:fldChar w:fldCharType="end"/>
      </w:r>
      <w:r>
        <w:rPr>
          <w:rFonts w:cstheme="minorHAnsi"/>
          <w:kern w:val="0"/>
          <w:lang w:val="en-US"/>
        </w:rPr>
        <w:t xml:space="preserve">. In the included studies, physical job demands were measured as high workload </w:t>
      </w:r>
      <w:r>
        <w:rPr>
          <w:rFonts w:cstheme="minorHAnsi"/>
          <w:kern w:val="0"/>
          <w:lang w:val="en-US"/>
        </w:rPr>
        <w:fldChar w:fldCharType="begin" w:fldLock="1"/>
      </w:r>
      <w:r>
        <w:rPr>
          <w:rFonts w:cstheme="minorHAnsi"/>
          <w:kern w:val="0"/>
          <w:lang w:val="en-US"/>
        </w:rPr>
        <w:instrText>ADDIN CSL_CITATION {"citationItems":[{"id":"ITEM-1","itemData":{"DOI":"10.1007/s00391-018-1452-2","ISSN":"09486704","PMID":"30280239","abstract":"Background: The aging of societies will increase the need for healthcare services and lead to a growing number of older employees. These two developments are relevant in the healthcare sector (HCS), which is of rising societal and economic importance and at the same time employs many older people. Objective: This article, which was written within the EXTEND project, investigates the working conditions and the prospective retirement age of older employees in the HCS in comparison to other sectors and explores what companies are doing to address the needs of this group. Material and methods: The analysis was conducted as a mixed methods approach. The quantitative part was based on data derived from the Transitions and Old Age Potential (TOP) study in which older German employees were asked about their working conditions and retirement transitions. Matching techniques (coarsened exact matching) were used to investigate differences between sectors. The sample consisted of 114 employees aged between 55 and 65 years, working in the HCS and their statistical twins. The qualitative analysis was based on case studies in two inpatient care organizations and two hospitals in Germany. A total of 23 semistructured interviews with staff members and with representatives of the management were carried out and thematically analyzed. Results: The results showed that older employees in the HCS do not expect to retire earlier but preferred to do so significantly more often. Furthermore, HCS employees are more likely to face physically burdensome working conditions than in other sectors of the economy. The case studies indicated that there are very diverse and unsystematic strategies in addressing and supporting older employees. Discussion: Older employees in the HCS sector are employed in much harsher working conditions than their peers in other sectors. This must be kept in mind when trying to extend their working lives.","author":[{"dropping-particle":"","family":"Mäcken","given":"Jana","non-dropping-particle":"","parse-names":false,"suffix":""},{"dropping-particle":"","family":"Merkel","given":"Sebastian","non-dropping-particle":"","parse-names":false,"suffix":""},{"dropping-particle":"","family":"Heß","given":"Moritz","non-dropping-particle":"","parse-names":false,"suffix":""},{"dropping-particle":"","family":"Hilbert","given":"Josef","non-dropping-particle":"","parse-names":false,"suffix":""},{"dropping-particle":"","family":"Naegele","given":"Gerhard","non-dropping-particle":"","parse-names":false,"suffix":""}],"container-title":"Zeitschrift fur Gerontologie und Geriatrie","id":"ITEM-1","issued":{"date-parts":[["2019"]]},"page":"25-31","title":"Transition to retirement in the healthcare sector: Working conditions and attitudes of older workers","type":"article-journal","volume":"52"},"uris":["http://www.mendeley.com/documents/?uuid=92103089-4b49-4cbb-bf2a-8899cefa0fa9"]}],"mendeley":{"formattedCitation":"(Mäcken et al., 2019)","plainTextFormattedCitation":"(Mäcken et al., 2019)","previouslyFormattedCitation":"(Mäcken et al., 2019)"},"properties":{"noteIndex":0},"schema":"https://github.com/citation-style-language/schema/raw/master/csl-citation.json"}</w:instrText>
      </w:r>
      <w:r>
        <w:rPr>
          <w:rFonts w:cstheme="minorHAnsi"/>
          <w:kern w:val="0"/>
          <w:lang w:val="en-US"/>
        </w:rPr>
        <w:fldChar w:fldCharType="separate"/>
      </w:r>
      <w:r w:rsidRPr="00462E68">
        <w:rPr>
          <w:rFonts w:cstheme="minorHAnsi"/>
          <w:noProof/>
          <w:kern w:val="0"/>
          <w:lang w:val="en-US"/>
        </w:rPr>
        <w:t>(Mäcken et al., 2019)</w:t>
      </w:r>
      <w:r>
        <w:rPr>
          <w:rFonts w:cstheme="minorHAnsi"/>
          <w:kern w:val="0"/>
          <w:lang w:val="en-US"/>
        </w:rPr>
        <w:fldChar w:fldCharType="end"/>
      </w:r>
      <w:r>
        <w:rPr>
          <w:rFonts w:cstheme="minorHAnsi"/>
          <w:kern w:val="0"/>
          <w:lang w:val="en-US"/>
        </w:rPr>
        <w:t xml:space="preserve"> and high work pace </w:t>
      </w:r>
      <w:r>
        <w:rPr>
          <w:rFonts w:cstheme="minorHAnsi"/>
          <w:kern w:val="0"/>
          <w:lang w:val="en-US"/>
        </w:rPr>
        <w:fldChar w:fldCharType="begin" w:fldLock="1"/>
      </w:r>
      <w:r>
        <w:rPr>
          <w:rFonts w:cstheme="minorHAnsi"/>
          <w:kern w:val="0"/>
          <w:lang w:val="en-US"/>
        </w:rPr>
        <w:instrText>ADDIN CSL_CITATION {"citationItems":[{"id":"ITEM-1","itemData":{"DOI":"10.1093/eurpub/cks117","ISSN":"11011262","PMID":"22930740","abstract":"Background: Western countries are experiencing an ageing and shrinking workforce in the eldercare sector. This study investigated whether 12 different work-related factors are associated with early retirement intentions of employees in the Danish eldercare sector. We tested whether three hypotheses explained the increase of early retirement intention: (i) high job demands (four factors) and low resources (four factors); (ii) low job attitude (three factors); and (iii) high physical strain (one factor). Methods: We included 2444 employees (aged 45-57 years) from two waves (T1 and T2) from a prospective study. Multinomial logistic regression models showed whether 12 work-related factors (T1) were associated with early retirement intention (T2); very early retirement intention and early retirement intention vs. normal retirement intention. Results: Only 14% of the participants wished to retire at the normal retirement age (65 years or older). High physical strain [hypothesis (iii)] and low and normal affective organizational commitment [hypothesis (ii)] were associated with very early retirement intention. None of the other work-related factors associated with early retirement intention. Conclusions: Future interventions should focus on reducing physical strain and increase or maintain affective organizational commitment among employees in the eldercare sector to postpone retirement. © The Author 2012. Published by Oxford University Press on behalf of the European Public Health Association. All rights reserved.","author":[{"dropping-particle":"","family":"Sejbaek","given":"C.","non-dropping-particle":"","parse-names":false,"suffix":""},{"dropping-particle":"","family":"Nexo","given":"M.","non-dropping-particle":"","parse-names":false,"suffix":""},{"dropping-particle":"","family":"Borg","given":"V.","non-dropping-particle":"","parse-names":false,"suffix":""}],"container-title":"European Journal of Public Health","id":"ITEM-1","issue":"4","issued":{"date-parts":[["2013"]]},"page":"611-616","title":"Work-related factors and early retirement intention: A study of the Danish eldercare sector","type":"article-journal","volume":"23"},"uris":["http://www.mendeley.com/documents/?uuid=b6b5a500-bc38-471b-a336-ef1cbc39edfc"]}],"mendeley":{"formattedCitation":"(Sejbaek et al., 2013)","plainTextFormattedCitation":"(Sejbaek et al., 2013)","previouslyFormattedCitation":"(Sejbaek et al., 2013)"},"properties":{"noteIndex":0},"schema":"https://github.com/citation-style-language/schema/raw/master/csl-citation.json"}</w:instrText>
      </w:r>
      <w:r>
        <w:rPr>
          <w:rFonts w:cstheme="minorHAnsi"/>
          <w:kern w:val="0"/>
          <w:lang w:val="en-US"/>
        </w:rPr>
        <w:fldChar w:fldCharType="separate"/>
      </w:r>
      <w:r w:rsidRPr="00462E68">
        <w:rPr>
          <w:rFonts w:cstheme="minorHAnsi"/>
          <w:noProof/>
          <w:kern w:val="0"/>
          <w:lang w:val="en-US"/>
        </w:rPr>
        <w:t>(Sejbaek et al., 2013)</w:t>
      </w:r>
      <w:r>
        <w:rPr>
          <w:rFonts w:cstheme="minorHAnsi"/>
          <w:kern w:val="0"/>
          <w:lang w:val="en-US"/>
        </w:rPr>
        <w:fldChar w:fldCharType="end"/>
      </w:r>
      <w:r>
        <w:rPr>
          <w:rFonts w:cstheme="minorHAnsi"/>
          <w:kern w:val="0"/>
          <w:lang w:val="en-US"/>
        </w:rPr>
        <w:t xml:space="preserve">, and emotional job demands were measured as hard mental work </w:t>
      </w:r>
      <w:r>
        <w:rPr>
          <w:rFonts w:cstheme="minorHAnsi"/>
          <w:kern w:val="0"/>
          <w:lang w:val="en-US"/>
        </w:rPr>
        <w:fldChar w:fldCharType="begin" w:fldLock="1"/>
      </w:r>
      <w:r>
        <w:rPr>
          <w:rFonts w:cstheme="minorHAnsi"/>
          <w:kern w:val="0"/>
          <w:lang w:val="en-US"/>
        </w:rPr>
        <w:instrText>ADDIN CSL_CITATION {"citationItems":[{"id":"ITEM-1","itemData":{"DOI":"10.1007/s00391-018-1452-2","ISSN":"09486704","PMID":"30280239","abstract":"Background: The aging of societies will increase the need for healthcare services and lead to a growing number of older employees. These two developments are relevant in the healthcare sector (HCS), which is of rising societal and economic importance and at the same time employs many older people. Objective: This article, which was written within the EXTEND project, investigates the working conditions and the prospective retirement age of older employees in the HCS in comparison to other sectors and explores what companies are doing to address the needs of this group. Material and methods: The analysis was conducted as a mixed methods approach. The quantitative part was based on data derived from the Transitions and Old Age Potential (TOP) study in which older German employees were asked about their working conditions and retirement transitions. Matching techniques (coarsened exact matching) were used to investigate differences between sectors. The sample consisted of 114 employees aged between 55 and 65 years, working in the HCS and their statistical twins. The qualitative analysis was based on case studies in two inpatient care organizations and two hospitals in Germany. A total of 23 semistructured interviews with staff members and with representatives of the management were carried out and thematically analyzed. Results: The results showed that older employees in the HCS do not expect to retire earlier but preferred to do so significantly more often. Furthermore, HCS employees are more likely to face physically burdensome working conditions than in other sectors of the economy. The case studies indicated that there are very diverse and unsystematic strategies in addressing and supporting older employees. Discussion: Older employees in the HCS sector are employed in much harsher working conditions than their peers in other sectors. This must be kept in mind when trying to extend their working lives.","author":[{"dropping-particle":"","family":"Mäcken","given":"Jana","non-dropping-particle":"","parse-names":false,"suffix":""},{"dropping-particle":"","family":"Merkel","given":"Sebastian","non-dropping-particle":"","parse-names":false,"suffix":""},{"dropping-particle":"","family":"Heß","given":"Moritz","non-dropping-particle":"","parse-names":false,"suffix":""},{"dropping-particle":"","family":"Hilbert","given":"Josef","non-dropping-particle":"","parse-names":false,"suffix":""},{"dropping-particle":"","family":"Naegele","given":"Gerhard","non-dropping-particle":"","parse-names":false,"suffix":""}],"container-title":"Zeitschrift fur Gerontologie und Geriatrie","id":"ITEM-1","issued":{"date-parts":[["2019"]]},"page":"25-31","title":"Transition to retirement in the healthcare sector: Working conditions and attitudes of older workers","type":"article-journal","volume":"52"},"uris":["http://www.mendeley.com/documents/?uuid=92103089-4b49-4cbb-bf2a-8899cefa0fa9"]}],"mendeley":{"formattedCitation":"(Mäcken et al., 2019)","plainTextFormattedCitation":"(Mäcken et al., 2019)","previouslyFormattedCitation":"(Mäcken et al., 2019)"},"properties":{"noteIndex":0},"schema":"https://github.com/citation-style-language/schema/raw/master/csl-citation.json"}</w:instrText>
      </w:r>
      <w:r>
        <w:rPr>
          <w:rFonts w:cstheme="minorHAnsi"/>
          <w:kern w:val="0"/>
          <w:lang w:val="en-US"/>
        </w:rPr>
        <w:fldChar w:fldCharType="separate"/>
      </w:r>
      <w:r w:rsidRPr="00462E68">
        <w:rPr>
          <w:rFonts w:cstheme="minorHAnsi"/>
          <w:noProof/>
          <w:kern w:val="0"/>
          <w:lang w:val="en-US"/>
        </w:rPr>
        <w:t>(Mäcken et al., 2019)</w:t>
      </w:r>
      <w:r>
        <w:rPr>
          <w:rFonts w:cstheme="minorHAnsi"/>
          <w:kern w:val="0"/>
          <w:lang w:val="en-US"/>
        </w:rPr>
        <w:fldChar w:fldCharType="end"/>
      </w:r>
      <w:r>
        <w:rPr>
          <w:rFonts w:cstheme="minorHAnsi"/>
          <w:kern w:val="0"/>
          <w:lang w:val="en-US"/>
        </w:rPr>
        <w:t xml:space="preserve">, high emotional work and role conflicts </w:t>
      </w:r>
      <w:r>
        <w:rPr>
          <w:rFonts w:cstheme="minorHAnsi"/>
          <w:kern w:val="0"/>
          <w:lang w:val="en-US"/>
        </w:rPr>
        <w:fldChar w:fldCharType="begin" w:fldLock="1"/>
      </w:r>
      <w:r>
        <w:rPr>
          <w:rFonts w:cstheme="minorHAnsi"/>
          <w:kern w:val="0"/>
          <w:lang w:val="en-US"/>
        </w:rPr>
        <w:instrText>ADDIN CSL_CITATION {"citationItems":[{"id":"ITEM-1","itemData":{"DOI":"10.1093/eurpub/cks117","ISSN":"11011262","PMID":"22930740","abstract":"Background: Western countries are experiencing an ageing and shrinking workforce in the eldercare sector. This study investigated whether 12 different work-related factors are associated with early retirement intentions of employees in the Danish eldercare sector. We tested whether three hypotheses explained the increase of early retirement intention: (i) high job demands (four factors) and low resources (four factors); (ii) low job attitude (three factors); and (iii) high physical strain (one factor). Methods: We included 2444 employees (aged 45-57 years) from two waves (T1 and T2) from a prospective study. Multinomial logistic regression models showed whether 12 work-related factors (T1) were associated with early retirement intention (T2); very early retirement intention and early retirement intention vs. normal retirement intention. Results: Only 14% of the participants wished to retire at the normal retirement age (65 years or older). High physical strain [hypothesis (iii)] and low and normal affective organizational commitment [hypothesis (ii)] were associated with very early retirement intention. None of the other work-related factors associated with early retirement intention. Conclusions: Future interventions should focus on reducing physical strain and increase or maintain affective organizational commitment among employees in the eldercare sector to postpone retirement. © The Author 2012. Published by Oxford University Press on behalf of the European Public Health Association. All rights reserved.","author":[{"dropping-particle":"","family":"Sejbaek","given":"C.","non-dropping-particle":"","parse-names":false,"suffix":""},{"dropping-particle":"","family":"Nexo","given":"M.","non-dropping-particle":"","parse-names":false,"suffix":""},{"dropping-particle":"","family":"Borg","given":"V.","non-dropping-particle":"","parse-names":false,"suffix":""}],"container-title":"European Journal of Public Health","id":"ITEM-1","issue":"4","issued":{"date-parts":[["2013"]]},"page":"611-616","title":"Work-related factors and early retirement intention: A study of the Danish eldercare sector","type":"article-journal","volume":"23"},"uris":["http://www.mendeley.com/documents/?uuid=b6b5a500-bc38-471b-a336-ef1cbc39edfc"]}],"mendeley":{"formattedCitation":"(Sejbaek et al., 2013)","plainTextFormattedCitation":"(Sejbaek et al., 2013)","previouslyFormattedCitation":"(Sejbaek et al., 2013)"},"properties":{"noteIndex":0},"schema":"https://github.com/citation-style-language/schema/raw/master/csl-citation.json"}</w:instrText>
      </w:r>
      <w:r>
        <w:rPr>
          <w:rFonts w:cstheme="minorHAnsi"/>
          <w:kern w:val="0"/>
          <w:lang w:val="en-US"/>
        </w:rPr>
        <w:fldChar w:fldCharType="separate"/>
      </w:r>
      <w:r w:rsidRPr="00462E68">
        <w:rPr>
          <w:rFonts w:cstheme="minorHAnsi"/>
          <w:noProof/>
          <w:kern w:val="0"/>
          <w:lang w:val="en-US"/>
        </w:rPr>
        <w:t>(Sejbaek et al., 2013)</w:t>
      </w:r>
      <w:r>
        <w:rPr>
          <w:rFonts w:cstheme="minorHAnsi"/>
          <w:kern w:val="0"/>
          <w:lang w:val="en-US"/>
        </w:rPr>
        <w:fldChar w:fldCharType="end"/>
      </w:r>
      <w:r>
        <w:rPr>
          <w:rFonts w:cstheme="minorHAnsi"/>
          <w:kern w:val="0"/>
          <w:lang w:val="en-US"/>
        </w:rPr>
        <w:t xml:space="preserve">. </w:t>
      </w:r>
      <w:r w:rsidRPr="001B525D">
        <w:rPr>
          <w:rFonts w:cstheme="minorHAnsi"/>
          <w:kern w:val="0"/>
          <w:lang w:val="en-US"/>
        </w:rPr>
        <w:t xml:space="preserve">Thus, job demands and </w:t>
      </w:r>
      <w:r>
        <w:rPr>
          <w:rFonts w:cstheme="minorHAnsi"/>
          <w:kern w:val="0"/>
          <w:lang w:val="en-US"/>
        </w:rPr>
        <w:t xml:space="preserve">resources are involved in individuals' retirement timing. However, previous reviews indicate different job resources and demands are involved in the general workforce than in the eldercare. </w:t>
      </w:r>
    </w:p>
    <w:p w14:paraId="53289803" w14:textId="77777777" w:rsidR="00A5420D" w:rsidRDefault="00A5420D" w:rsidP="00D5182D">
      <w:pPr>
        <w:autoSpaceDE w:val="0"/>
        <w:autoSpaceDN w:val="0"/>
        <w:adjustRightInd w:val="0"/>
        <w:spacing w:after="0" w:line="360" w:lineRule="auto"/>
        <w:ind w:left="567" w:right="953"/>
        <w:rPr>
          <w:rFonts w:cstheme="minorHAnsi"/>
          <w:kern w:val="0"/>
          <w:lang w:val="en-US"/>
        </w:rPr>
      </w:pPr>
    </w:p>
    <w:p w14:paraId="3179F456" w14:textId="229E10D8" w:rsidR="00AB3E39" w:rsidRPr="00AB3E39" w:rsidRDefault="00AB3E39" w:rsidP="005A516E">
      <w:pPr>
        <w:autoSpaceDE w:val="0"/>
        <w:autoSpaceDN w:val="0"/>
        <w:adjustRightInd w:val="0"/>
        <w:spacing w:after="0" w:line="360" w:lineRule="auto"/>
        <w:ind w:left="567" w:right="953"/>
        <w:rPr>
          <w:rFonts w:cstheme="minorHAnsi"/>
          <w:i/>
          <w:iCs/>
          <w:kern w:val="0"/>
          <w:sz w:val="24"/>
          <w:szCs w:val="24"/>
          <w:lang w:val="en-US"/>
        </w:rPr>
      </w:pPr>
      <w:r w:rsidRPr="00AB3E39">
        <w:rPr>
          <w:rFonts w:cstheme="minorHAnsi"/>
          <w:i/>
          <w:iCs/>
          <w:kern w:val="0"/>
          <w:sz w:val="24"/>
          <w:szCs w:val="24"/>
          <w:lang w:val="en-US"/>
        </w:rPr>
        <w:t xml:space="preserve">Family-work interface </w:t>
      </w:r>
    </w:p>
    <w:p w14:paraId="0A780DFC" w14:textId="3B9A84DE" w:rsidR="005A516E" w:rsidRDefault="005A516E" w:rsidP="003A150B">
      <w:pPr>
        <w:autoSpaceDE w:val="0"/>
        <w:autoSpaceDN w:val="0"/>
        <w:adjustRightInd w:val="0"/>
        <w:spacing w:after="0" w:line="360" w:lineRule="auto"/>
        <w:ind w:left="567" w:right="953"/>
        <w:rPr>
          <w:rFonts w:cstheme="minorHAnsi"/>
          <w:kern w:val="0"/>
          <w:lang w:val="en-US"/>
        </w:rPr>
      </w:pPr>
      <w:r w:rsidRPr="005A516E">
        <w:rPr>
          <w:rFonts w:cstheme="minorHAnsi"/>
          <w:kern w:val="0"/>
          <w:lang w:val="en-US"/>
        </w:rPr>
        <w:t xml:space="preserve">Other factors often highlighted </w:t>
      </w:r>
      <w:r w:rsidR="007D3417">
        <w:rPr>
          <w:rFonts w:cstheme="minorHAnsi"/>
          <w:kern w:val="0"/>
          <w:lang w:val="en-US"/>
        </w:rPr>
        <w:t>as</w:t>
      </w:r>
      <w:r>
        <w:rPr>
          <w:rFonts w:cstheme="minorHAnsi"/>
          <w:kern w:val="0"/>
          <w:lang w:val="en-US"/>
        </w:rPr>
        <w:t xml:space="preserve"> linked</w:t>
      </w:r>
      <w:r w:rsidRPr="005A516E">
        <w:rPr>
          <w:rFonts w:cstheme="minorHAnsi"/>
          <w:kern w:val="0"/>
          <w:lang w:val="en-US"/>
        </w:rPr>
        <w:t xml:space="preserve"> to </w:t>
      </w:r>
      <w:r>
        <w:rPr>
          <w:rFonts w:cstheme="minorHAnsi"/>
          <w:kern w:val="0"/>
          <w:lang w:val="en-US"/>
        </w:rPr>
        <w:t xml:space="preserve">the </w:t>
      </w:r>
      <w:r w:rsidRPr="005A516E">
        <w:rPr>
          <w:rFonts w:cstheme="minorHAnsi"/>
          <w:kern w:val="0"/>
          <w:lang w:val="en-US"/>
        </w:rPr>
        <w:t xml:space="preserve">retirement timing are family factors </w:t>
      </w:r>
      <w:r w:rsidR="007D3417">
        <w:rPr>
          <w:rFonts w:cstheme="minorHAnsi"/>
          <w:kern w:val="0"/>
          <w:lang w:val="en-US"/>
        </w:rPr>
        <w:t>and potential</w:t>
      </w:r>
      <w:r w:rsidRPr="005A516E">
        <w:rPr>
          <w:rFonts w:cstheme="minorHAnsi"/>
          <w:kern w:val="0"/>
          <w:lang w:val="en-US"/>
        </w:rPr>
        <w:t xml:space="preserve"> family-work conflicts.</w:t>
      </w:r>
      <w:r w:rsidR="00330948" w:rsidRPr="005A516E">
        <w:rPr>
          <w:rFonts w:cstheme="minorHAnsi"/>
          <w:kern w:val="0"/>
          <w:lang w:val="en-US"/>
        </w:rPr>
        <w:t xml:space="preserve"> </w:t>
      </w:r>
      <w:r>
        <w:rPr>
          <w:rFonts w:cstheme="minorHAnsi"/>
          <w:kern w:val="0"/>
          <w:lang w:val="en-US"/>
        </w:rPr>
        <w:t>For example, i</w:t>
      </w:r>
      <w:r w:rsidRPr="000726FC">
        <w:rPr>
          <w:rFonts w:cstheme="minorHAnsi"/>
          <w:kern w:val="0"/>
          <w:lang w:val="en-US"/>
        </w:rPr>
        <w:t xml:space="preserve">ndividuals involved in informal caregiving responsibilities are more likely to be pushed out of work than individuals with no caregiving responsibilities </w:t>
      </w:r>
      <w:r w:rsidRPr="000726FC">
        <w:rPr>
          <w:rFonts w:cstheme="minorHAnsi"/>
          <w:kern w:val="0"/>
          <w:lang w:val="en-US"/>
        </w:rPr>
        <w:fldChar w:fldCharType="begin" w:fldLock="1"/>
      </w:r>
      <w:r w:rsidRPr="000726FC">
        <w:rPr>
          <w:rFonts w:cstheme="minorHAnsi"/>
          <w:kern w:val="0"/>
          <w:lang w:val="en-US"/>
        </w:rPr>
        <w:instrText>ADDIN CSL_CITATION {"citationItems":[{"id":"ITEM-1","itemData":{"DOI":"10.1111/j.1468-0009.2007.00504.x","ISSN":"0887378X","PMID":"18070333","abstract":"As people continue to age and receive complex health care services at home, concern has arisen about the availability of family caregivers and their ability to combine employment with caregiving. This article evaluates the international research on unpaid caregivers and their labor market choices, highlighting three conclusions: first, caregivers in general are equally as likely to be in the labor force as noncaregivers; second, caregivers are more likely to work fewer hours in the labor market than noncaregivers, particularly if their caring commitments are heavy; and finally, only those heavily involved in caregiving are significantly more likely to withdraw from the labor market than noncaregivers. Policy recommendations are targeting greater access to formal care for \"intensive\" caregivers and developing workplace policies for employed caregivers. © 2007 Milbank Memorial Fund.","author":[{"dropping-particle":"","family":"Lilly","given":"Meredith B.","non-dropping-particle":"","parse-names":false,"suffix":""},{"dropping-particle":"","family":"Laporte","given":"Audrey","non-dropping-particle":"","parse-names":false,"suffix":""},{"dropping-particle":"","family":"Coyte","given":"Peter C.","non-dropping-particle":"","parse-names":false,"suffix":""}],"container-title":"Milbank Quarterly","id":"ITEM-1","issue":"4","issued":{"date-parts":[["2007"]]},"page":"641-690","title":"Labor market work and home care's unpaid caregivers: A systematic review of labor force participation rates, predictors of labor market withdrawal, and hours of work","type":"article-journal","volume":"85"},"uris":["http://www.mendeley.com/documents/?uuid=297efd7e-f1c9-4d9b-b30b-c5a99803529c"]}],"mendeley":{"formattedCitation":"(Lilly et al., 2007)","plainTextFormattedCitation":"(Lilly et al., 2007)","previouslyFormattedCitation":"(Lilly et al., 2007)"},"properties":{"noteIndex":0},"schema":"https://github.com/citation-style-language/schema/raw/master/csl-citation.json"}</w:instrText>
      </w:r>
      <w:r w:rsidRPr="000726FC">
        <w:rPr>
          <w:rFonts w:cstheme="minorHAnsi"/>
          <w:kern w:val="0"/>
          <w:lang w:val="en-US"/>
        </w:rPr>
        <w:fldChar w:fldCharType="separate"/>
      </w:r>
      <w:r w:rsidRPr="000726FC">
        <w:rPr>
          <w:rFonts w:cstheme="minorHAnsi"/>
          <w:noProof/>
          <w:kern w:val="0"/>
          <w:lang w:val="en-US"/>
        </w:rPr>
        <w:t>(Lilly et al., 2007)</w:t>
      </w:r>
      <w:r w:rsidRPr="000726FC">
        <w:rPr>
          <w:rFonts w:cstheme="minorHAnsi"/>
          <w:kern w:val="0"/>
          <w:lang w:val="en-US"/>
        </w:rPr>
        <w:fldChar w:fldCharType="end"/>
      </w:r>
      <w:r w:rsidRPr="000726FC">
        <w:rPr>
          <w:rFonts w:cstheme="minorHAnsi"/>
          <w:kern w:val="0"/>
          <w:lang w:val="en-US"/>
        </w:rPr>
        <w:t>.</w:t>
      </w:r>
      <w:r>
        <w:rPr>
          <w:rFonts w:cstheme="minorHAnsi"/>
          <w:kern w:val="0"/>
          <w:lang w:val="en-US"/>
        </w:rPr>
        <w:t xml:space="preserve"> I</w:t>
      </w:r>
      <w:r w:rsidR="00E0637F">
        <w:rPr>
          <w:rFonts w:cstheme="minorHAnsi"/>
          <w:kern w:val="0"/>
          <w:lang w:val="en-US"/>
        </w:rPr>
        <w:t>n Gyllensten</w:t>
      </w:r>
      <w:r w:rsidR="007D3417">
        <w:rPr>
          <w:rFonts w:cstheme="minorHAnsi"/>
          <w:kern w:val="0"/>
          <w:lang w:val="en-US"/>
        </w:rPr>
        <w:t>’</w:t>
      </w:r>
      <w:r w:rsidR="00E0637F">
        <w:rPr>
          <w:rFonts w:cstheme="minorHAnsi"/>
          <w:kern w:val="0"/>
          <w:lang w:val="en-US"/>
        </w:rPr>
        <w:t xml:space="preserve">s (2019) study </w:t>
      </w:r>
      <w:r w:rsidR="007D3417">
        <w:rPr>
          <w:rFonts w:cstheme="minorHAnsi"/>
          <w:kern w:val="0"/>
          <w:lang w:val="en-US"/>
        </w:rPr>
        <w:t xml:space="preserve">of </w:t>
      </w:r>
      <w:r w:rsidR="007D3417">
        <w:rPr>
          <w:rFonts w:cstheme="minorHAnsi"/>
          <w:kern w:val="0"/>
          <w:lang w:val="en-US"/>
        </w:rPr>
        <w:lastRenderedPageBreak/>
        <w:t>workers</w:t>
      </w:r>
      <w:r w:rsidR="00E0637F">
        <w:rPr>
          <w:rFonts w:cstheme="minorHAnsi"/>
          <w:kern w:val="0"/>
          <w:lang w:val="en-US"/>
        </w:rPr>
        <w:t xml:space="preserve"> in elder care, </w:t>
      </w:r>
      <w:r w:rsidR="007D3417">
        <w:rPr>
          <w:rFonts w:cstheme="minorHAnsi"/>
          <w:kern w:val="0"/>
          <w:lang w:val="en-US"/>
        </w:rPr>
        <w:t xml:space="preserve">the working conditions were experienced as </w:t>
      </w:r>
      <w:r w:rsidR="00E0637F">
        <w:rPr>
          <w:rFonts w:cstheme="minorHAnsi"/>
          <w:kern w:val="0"/>
          <w:lang w:val="en-US"/>
        </w:rPr>
        <w:t xml:space="preserve">poor </w:t>
      </w:r>
      <w:r w:rsidR="007D3417">
        <w:rPr>
          <w:rFonts w:cstheme="minorHAnsi"/>
          <w:kern w:val="0"/>
          <w:lang w:val="en-US"/>
        </w:rPr>
        <w:t xml:space="preserve">if the </w:t>
      </w:r>
      <w:r w:rsidR="00E0637F">
        <w:rPr>
          <w:rFonts w:cstheme="minorHAnsi"/>
          <w:kern w:val="0"/>
          <w:lang w:val="en-US"/>
        </w:rPr>
        <w:t>job demands</w:t>
      </w:r>
      <w:r w:rsidR="007D3417">
        <w:rPr>
          <w:rFonts w:cstheme="minorHAnsi"/>
          <w:kern w:val="0"/>
          <w:lang w:val="en-US"/>
        </w:rPr>
        <w:t xml:space="preserve"> were high</w:t>
      </w:r>
      <w:r w:rsidR="00B90FFA">
        <w:rPr>
          <w:rFonts w:cstheme="minorHAnsi"/>
          <w:kern w:val="0"/>
          <w:lang w:val="en-US"/>
        </w:rPr>
        <w:t>. As a consequence</w:t>
      </w:r>
      <w:r w:rsidR="00E0637F">
        <w:rPr>
          <w:rFonts w:cstheme="minorHAnsi"/>
          <w:kern w:val="0"/>
          <w:lang w:val="en-US"/>
        </w:rPr>
        <w:t xml:space="preserve"> </w:t>
      </w:r>
      <w:r w:rsidR="007D3417">
        <w:rPr>
          <w:rFonts w:cstheme="minorHAnsi"/>
          <w:kern w:val="0"/>
          <w:lang w:val="en-US"/>
        </w:rPr>
        <w:t xml:space="preserve">there was a shortage </w:t>
      </w:r>
      <w:r w:rsidR="00E0637F">
        <w:rPr>
          <w:rFonts w:cstheme="minorHAnsi"/>
          <w:kern w:val="0"/>
          <w:lang w:val="en-US"/>
        </w:rPr>
        <w:t xml:space="preserve"> of staff and little time to recovery, </w:t>
      </w:r>
      <w:r w:rsidR="007D3417">
        <w:rPr>
          <w:rFonts w:cstheme="minorHAnsi"/>
          <w:kern w:val="0"/>
          <w:lang w:val="en-US"/>
        </w:rPr>
        <w:t>i.e.</w:t>
      </w:r>
      <w:r w:rsidR="00E0637F">
        <w:rPr>
          <w:rFonts w:cstheme="minorHAnsi"/>
          <w:kern w:val="0"/>
          <w:lang w:val="en-US"/>
        </w:rPr>
        <w:t xml:space="preserve"> conditions </w:t>
      </w:r>
      <w:r w:rsidR="007D3417">
        <w:rPr>
          <w:rFonts w:cstheme="minorHAnsi"/>
          <w:kern w:val="0"/>
          <w:lang w:val="en-US"/>
        </w:rPr>
        <w:t xml:space="preserve">potentially </w:t>
      </w:r>
      <w:r w:rsidR="00E0637F">
        <w:rPr>
          <w:rFonts w:cstheme="minorHAnsi"/>
          <w:kern w:val="0"/>
          <w:lang w:val="en-US"/>
        </w:rPr>
        <w:t>result</w:t>
      </w:r>
      <w:r w:rsidR="007D3417">
        <w:rPr>
          <w:rFonts w:cstheme="minorHAnsi"/>
          <w:kern w:val="0"/>
          <w:lang w:val="en-US"/>
        </w:rPr>
        <w:t>ing</w:t>
      </w:r>
      <w:r w:rsidR="00E0637F">
        <w:rPr>
          <w:rFonts w:cstheme="minorHAnsi"/>
          <w:kern w:val="0"/>
          <w:lang w:val="en-US"/>
        </w:rPr>
        <w:t xml:space="preserve"> in </w:t>
      </w:r>
      <w:r w:rsidR="00E0637F" w:rsidRPr="00530665">
        <w:rPr>
          <w:rFonts w:cstheme="minorHAnsi"/>
          <w:kern w:val="0"/>
          <w:lang w:val="en-US"/>
        </w:rPr>
        <w:t>work-family conflicts</w:t>
      </w:r>
      <w:r w:rsidR="00E0637F" w:rsidRPr="00A92BCC">
        <w:rPr>
          <w:rFonts w:cstheme="minorHAnsi"/>
          <w:kern w:val="0"/>
          <w:lang w:val="en-US"/>
        </w:rPr>
        <w:t xml:space="preserve"> </w:t>
      </w:r>
      <w:r w:rsidR="00E0637F" w:rsidRPr="00A92BCC">
        <w:rPr>
          <w:rFonts w:cstheme="minorHAnsi"/>
          <w:kern w:val="0"/>
          <w:lang w:val="en-US"/>
        </w:rPr>
        <w:fldChar w:fldCharType="begin" w:fldLock="1"/>
      </w:r>
      <w:r w:rsidR="00E0637F" w:rsidRPr="00A92BCC">
        <w:rPr>
          <w:rFonts w:cstheme="minorHAnsi"/>
          <w:kern w:val="0"/>
          <w:lang w:val="en-US"/>
        </w:rPr>
        <w:instrText>ADDIN CSL_CITATION {"citationItems":[{"id":"ITEM-1","itemData":{"DOI":"10.1017/S0144686X18000740","ISSN":"14691779","abstract":"The aim of this study was to explore older workers' motivation for a full or extended working life. With particular focus on assistant nurses aged 55-64 years, working in the elderly care sector. Focus group interviews were conducted with five different groups of assistant nurses. Inductive thematic analysis was used to analyse the interviews and five main themes were developed from the data: 'Organisational issues', 'Health-related problems', 'Private issues', 'Meaningfulness and appreciation' and 'Social support'. Several of the main themes concerned problems with too high work demands of the assistant nurses. These findings suggest that it is important to improve the working conditions of assistant nurses in order to create a more sustainable working life. Increasing the number of staff and improving recovery opportunities and work-life balance could be important steps to improving the working conditions for this group. Finally, upgrading the competency and professionalism of assistant nurses could help to increase the motivation for a full or extended working life.","author":[{"dropping-particle":"","family":"Gyllensten","given":"Kristina","non-dropping-particle":"","parse-names":false,"suffix":""},{"dropping-particle":"","family":"Wentz","given":"Kerstin","non-dropping-particle":"","parse-names":false,"suffix":""},{"dropping-particle":"","family":"Håkansson","given":"Carita","non-dropping-particle":"","parse-names":false,"suffix":""},{"dropping-particle":"","family":"Hagberg","given":"Mats","non-dropping-particle":"","parse-names":false,"suffix":""},{"dropping-particle":"","family":"Nilsson","given":"Kerstin","non-dropping-particle":"","parse-names":false,"suffix":""}],"container-title":"Ageing and Society","id":"ITEM-1","issue":"12","issued":{"date-parts":[["2019"]]},"page":"2699-2713","title":"Older assistant nurses' motivation for a full or extended working life","type":"article-journal","volume":"39"},"uris":["http://www.mendeley.com/documents/?uuid=acfcc84d-9685-4b72-8ce1-a18296953b66"]}],"mendeley":{"formattedCitation":"(Gyllensten et al., 2019)","plainTextFormattedCitation":"(Gyllensten et al., 2019)","previouslyFormattedCitation":"(Gyllensten et al., 2019)"},"properties":{"noteIndex":0},"schema":"https://github.com/citation-style-language/schema/raw/master/csl-citation.json"}</w:instrText>
      </w:r>
      <w:r w:rsidR="00E0637F" w:rsidRPr="00A92BCC">
        <w:rPr>
          <w:rFonts w:cstheme="minorHAnsi"/>
          <w:kern w:val="0"/>
          <w:lang w:val="en-US"/>
        </w:rPr>
        <w:fldChar w:fldCharType="separate"/>
      </w:r>
      <w:r w:rsidR="00E0637F" w:rsidRPr="00A92BCC">
        <w:rPr>
          <w:rFonts w:cstheme="minorHAnsi"/>
          <w:noProof/>
          <w:kern w:val="0"/>
          <w:lang w:val="en-US"/>
        </w:rPr>
        <w:t>(Gyllensten et al., 2019)</w:t>
      </w:r>
      <w:r w:rsidR="00E0637F" w:rsidRPr="00A92BCC">
        <w:rPr>
          <w:rFonts w:cstheme="minorHAnsi"/>
          <w:kern w:val="0"/>
          <w:lang w:val="en-US"/>
        </w:rPr>
        <w:fldChar w:fldCharType="end"/>
      </w:r>
      <w:r w:rsidR="00E0637F">
        <w:rPr>
          <w:rFonts w:cstheme="minorHAnsi"/>
          <w:kern w:val="0"/>
          <w:lang w:val="en-US"/>
        </w:rPr>
        <w:t>.</w:t>
      </w:r>
      <w:r w:rsidR="00E0637F" w:rsidRPr="00E0637F">
        <w:rPr>
          <w:rFonts w:cstheme="minorHAnsi"/>
          <w:kern w:val="0"/>
          <w:lang w:val="en-US"/>
        </w:rPr>
        <w:t xml:space="preserve"> </w:t>
      </w:r>
      <w:r w:rsidR="00A84D48" w:rsidRPr="00D5182D">
        <w:rPr>
          <w:rFonts w:cstheme="minorHAnsi"/>
          <w:kern w:val="0"/>
          <w:lang w:val="en-US"/>
        </w:rPr>
        <w:t>Accordingly to Sacco</w:t>
      </w:r>
      <w:r w:rsidR="00A84D48">
        <w:rPr>
          <w:rFonts w:cstheme="minorHAnsi"/>
          <w:kern w:val="0"/>
          <w:lang w:val="en-US"/>
        </w:rPr>
        <w:t xml:space="preserve"> et al., </w:t>
      </w:r>
      <w:r w:rsidR="00A84D48">
        <w:rPr>
          <w:rFonts w:cstheme="minorHAnsi"/>
          <w:kern w:val="0"/>
          <w:lang w:val="en-US"/>
        </w:rPr>
        <w:fldChar w:fldCharType="begin" w:fldLock="1"/>
      </w:r>
      <w:r w:rsidR="00F03F1C">
        <w:rPr>
          <w:rFonts w:cstheme="minorHAnsi"/>
          <w:kern w:val="0"/>
          <w:lang w:val="en-US"/>
        </w:rPr>
        <w:instrText>ADDIN CSL_CITATION {"citationItems":[{"id":"ITEM-1","itemData":{"DOI":"10.1007/s11205-020-02473-x","ISBN":"0123456789","ISSN":"15730921","abstract":"Providing unpaid informal care to someone who is ill or disabled is a common experience in later life. While a supportive and potentially rewarding role, informal care can become a time and emotionally demanding activity, which may hinder older adults’ quality of life. In a context of rising demand for informal carers, we investigated how caregiving states and transitions are linked to overall levels and changes in quality of life, and how the relationship varies according to care intensity and burden. We used fixed effects and change analyses to examine six-wave panel data (2008–2018) from the Swedish Longitudinal Occupational Survey of Health (SLOSH, n = 5076; ages 50–74). The CASP-19 scale is used to assess both positive and negative aspects of older adults’ quality of life. Caregiving was related with lower levels of quality of life in a graded manner, with those providing more weekly hours and reporting greater burden experiencing larger declines. Two-year transitions corresponding to starting, ceasing and continuing care provision were associated with lower levels of quality of life, compared to continuously not caregiving. Starting and ceasing caregiving were associated with negative and positive changes in quality of life score, respectively, suggesting that cessation of care leads to improvements despite persistent lower overall levels of quality of life. Measures to reduce care burden or time spent providing informal care are likely to improve the quality of life of older people.","author":[{"dropping-particle":"","family":"Sacco","given":"Lawrence B.","non-dropping-particle":"","parse-names":false,"suffix":""},{"dropping-particle":"","family":"König","given":"Stefanie","non-dropping-particle":"","parse-names":false,"suffix":""},{"dropping-particle":"","family":"Westerlund","given":"Hugo","non-dropping-particle":"","parse-names":false,"suffix":""},{"dropping-particle":"","family":"Platts","given":"Loretta G.","non-dropping-particle":"","parse-names":false,"suffix":""}],"container-title":"Social Indicators Research","id":"ITEM-1","issue":"2-3","issued":{"date-parts":[["2022"]]},"page":"845-866","publisher":"Springer Netherlands","title":"Informal Caregiving and Quality of Life Among Older Adults: Prospective Analyses from the Swedish Longitudinal Occupational Survey of Health (SLOSH)","type":"article-journal","volume":"160"},"suppress-author":1,"uris":["http://www.mendeley.com/documents/?uuid=9d6a8f1c-2ad1-470a-b875-1efc4475fd5c"]}],"mendeley":{"formattedCitation":"(2022)","plainTextFormattedCitation":"(2022)","previouslyFormattedCitation":"(2022)"},"properties":{"noteIndex":0},"schema":"https://github.com/citation-style-language/schema/raw/master/csl-citation.json"}</w:instrText>
      </w:r>
      <w:r w:rsidR="00A84D48">
        <w:rPr>
          <w:rFonts w:cstheme="minorHAnsi"/>
          <w:kern w:val="0"/>
          <w:lang w:val="en-US"/>
        </w:rPr>
        <w:fldChar w:fldCharType="separate"/>
      </w:r>
      <w:r w:rsidR="00A84D48" w:rsidRPr="00BD372F">
        <w:rPr>
          <w:rFonts w:cstheme="minorHAnsi"/>
          <w:noProof/>
          <w:kern w:val="0"/>
          <w:lang w:val="en-US"/>
        </w:rPr>
        <w:t>(2022)</w:t>
      </w:r>
      <w:r w:rsidR="00A84D48">
        <w:rPr>
          <w:rFonts w:cstheme="minorHAnsi"/>
          <w:kern w:val="0"/>
          <w:lang w:val="en-US"/>
        </w:rPr>
        <w:fldChar w:fldCharType="end"/>
      </w:r>
      <w:r w:rsidR="00A84D48" w:rsidRPr="00D5182D">
        <w:rPr>
          <w:rFonts w:cstheme="minorHAnsi"/>
          <w:kern w:val="0"/>
          <w:lang w:val="en-US"/>
        </w:rPr>
        <w:t xml:space="preserve">, </w:t>
      </w:r>
      <w:r w:rsidR="00A84D48" w:rsidRPr="00BD372F">
        <w:rPr>
          <w:rFonts w:cstheme="minorHAnsi"/>
          <w:kern w:val="0"/>
          <w:lang w:val="en-US"/>
        </w:rPr>
        <w:t xml:space="preserve">women </w:t>
      </w:r>
      <w:r w:rsidR="00E8626C">
        <w:rPr>
          <w:rFonts w:cstheme="minorHAnsi"/>
          <w:kern w:val="0"/>
          <w:lang w:val="en-US"/>
        </w:rPr>
        <w:t xml:space="preserve">in </w:t>
      </w:r>
      <w:r w:rsidR="008C1F12">
        <w:rPr>
          <w:rFonts w:cstheme="minorHAnsi"/>
          <w:kern w:val="0"/>
          <w:lang w:val="en-US"/>
        </w:rPr>
        <w:t>Sweden</w:t>
      </w:r>
      <w:r w:rsidR="00E8626C">
        <w:rPr>
          <w:rFonts w:cstheme="minorHAnsi"/>
          <w:kern w:val="0"/>
          <w:lang w:val="en-US"/>
        </w:rPr>
        <w:t xml:space="preserve"> </w:t>
      </w:r>
      <w:r w:rsidR="00A84D48">
        <w:rPr>
          <w:rFonts w:cstheme="minorHAnsi"/>
          <w:kern w:val="0"/>
          <w:lang w:val="en-US"/>
        </w:rPr>
        <w:t xml:space="preserve">aged </w:t>
      </w:r>
      <w:r w:rsidR="00A84D48" w:rsidRPr="00BD372F">
        <w:rPr>
          <w:rFonts w:cstheme="minorHAnsi"/>
          <w:kern w:val="0"/>
          <w:lang w:val="en-US"/>
        </w:rPr>
        <w:t xml:space="preserve">45-65 </w:t>
      </w:r>
      <w:r w:rsidR="00A84D48" w:rsidRPr="000726FC">
        <w:rPr>
          <w:rFonts w:cstheme="minorHAnsi"/>
          <w:kern w:val="0"/>
          <w:lang w:val="en-US"/>
        </w:rPr>
        <w:t>are overrepresented among</w:t>
      </w:r>
      <w:r w:rsidR="008C1F12">
        <w:rPr>
          <w:rFonts w:cstheme="minorHAnsi"/>
          <w:kern w:val="0"/>
          <w:lang w:val="en-US"/>
        </w:rPr>
        <w:t xml:space="preserve"> informal care providers</w:t>
      </w:r>
      <w:r w:rsidR="00A84D48">
        <w:rPr>
          <w:rFonts w:cstheme="minorHAnsi"/>
          <w:kern w:val="0"/>
          <w:lang w:val="en-US"/>
        </w:rPr>
        <w:t xml:space="preserve">, which often results in reduced </w:t>
      </w:r>
      <w:r w:rsidR="00A84D48" w:rsidRPr="000726FC">
        <w:rPr>
          <w:rFonts w:cstheme="minorHAnsi"/>
          <w:kern w:val="0"/>
          <w:lang w:val="en-US"/>
        </w:rPr>
        <w:t xml:space="preserve">working hours </w:t>
      </w:r>
      <w:r w:rsidR="00A84D48" w:rsidRPr="000726FC">
        <w:rPr>
          <w:rFonts w:cstheme="minorHAnsi"/>
          <w:kern w:val="0"/>
          <w:lang w:val="en-US"/>
        </w:rPr>
        <w:fldChar w:fldCharType="begin" w:fldLock="1"/>
      </w:r>
      <w:r w:rsidR="00A84D48" w:rsidRPr="000726FC">
        <w:rPr>
          <w:rFonts w:cstheme="minorHAnsi"/>
          <w:kern w:val="0"/>
          <w:lang w:val="en-US"/>
        </w:rPr>
        <w:instrText>ADDIN CSL_CITATION {"citationItems":[{"id":"ITEM-1","itemData":{"author":[{"dropping-particle":"","family":"Szebehely","given":"Marta","non-dropping-particle":"","parse-names":false,"suffix":""},{"dropping-particle":"","family":"Ulmanen","given":"Petra","non-dropping-particle":"","parse-names":false,"suffix":""},{"dropping-particle":"","family":"Sand","given":"Ann-britt","non-dropping-particle":"","parse-names":false,"suffix":""}],"container-title":"Department of Social Work, Stockholm University","id":"ITEM-1","issued":{"date-parts":[["2014"]]},"title":"Att ge omsorg mitt i livet : hur påverkar det arbete och försörjning ?","type":"article-journal"},"uris":["http://www.mendeley.com/documents/?uuid=0f88ea1a-b73c-468f-8c82-ec48789fb70b"]}],"mendeley":{"formattedCitation":"(Szebehely et al., 2014)","plainTextFormattedCitation":"(Szebehely et al., 2014)","previouslyFormattedCitation":"(Szebehely et al., 2014)"},"properties":{"noteIndex":0},"schema":"https://github.com/citation-style-language/schema/raw/master/csl-citation.json"}</w:instrText>
      </w:r>
      <w:r w:rsidR="00A84D48" w:rsidRPr="000726FC">
        <w:rPr>
          <w:rFonts w:cstheme="minorHAnsi"/>
          <w:kern w:val="0"/>
          <w:lang w:val="en-US"/>
        </w:rPr>
        <w:fldChar w:fldCharType="separate"/>
      </w:r>
      <w:r w:rsidR="00A84D48" w:rsidRPr="000726FC">
        <w:rPr>
          <w:rFonts w:cstheme="minorHAnsi"/>
          <w:noProof/>
          <w:kern w:val="0"/>
          <w:lang w:val="en-US"/>
        </w:rPr>
        <w:t>(Szebehely et al., 2014)</w:t>
      </w:r>
      <w:r w:rsidR="00A84D48" w:rsidRPr="000726FC">
        <w:rPr>
          <w:rFonts w:cstheme="minorHAnsi"/>
          <w:kern w:val="0"/>
          <w:lang w:val="en-US"/>
        </w:rPr>
        <w:fldChar w:fldCharType="end"/>
      </w:r>
      <w:r w:rsidR="00A84D48" w:rsidRPr="000726FC">
        <w:rPr>
          <w:rFonts w:cstheme="minorHAnsi"/>
          <w:kern w:val="0"/>
          <w:lang w:val="en-US"/>
        </w:rPr>
        <w:t xml:space="preserve">. </w:t>
      </w:r>
      <w:r>
        <w:rPr>
          <w:rFonts w:cstheme="minorHAnsi"/>
          <w:kern w:val="0"/>
          <w:lang w:val="en-US"/>
        </w:rPr>
        <w:t xml:space="preserve">However, according to Matthews and Fisher </w:t>
      </w:r>
      <w:r>
        <w:rPr>
          <w:rFonts w:cstheme="minorHAnsi"/>
          <w:kern w:val="0"/>
          <w:lang w:val="en-US"/>
        </w:rPr>
        <w:fldChar w:fldCharType="begin" w:fldLock="1"/>
      </w:r>
      <w:r>
        <w:rPr>
          <w:rFonts w:cstheme="minorHAnsi"/>
          <w:kern w:val="0"/>
          <w:lang w:val="en-US"/>
        </w:rPr>
        <w:instrText>ADDIN CSL_CITATION {"citationItems":[{"id":"ITEM-1","itemData":{"author":[{"dropping-particle":"","family":"Matthews","given":"A. Russelll","non-dropping-particle":"","parse-names":false,"suffix":""},{"dropping-particle":"","family":"Fisher","given":"Gwenith G.","non-dropping-particle":"","parse-names":false,"suffix":""}],"container-title":"M. Wang (Ed.) The Oxford handbook of retirement","id":"ITEM-1","issued":{"date-parts":[["2012"]]},"page":"354-370","publisher":"Oxford University Press USA","title":"Family, work and the retirement process: A review and new directions","type":"chapter"},"suppress-author":1,"uris":["http://www.mendeley.com/documents/?uuid=5fe8988a-f3dc-4513-bed9-30e74fb23235"]}],"mendeley":{"formattedCitation":"(2012)","plainTextFormattedCitation":"(2012)","previouslyFormattedCitation":"(2012)"},"properties":{"noteIndex":0},"schema":"https://github.com/citation-style-language/schema/raw/master/csl-citation.json"}</w:instrText>
      </w:r>
      <w:r>
        <w:rPr>
          <w:rFonts w:cstheme="minorHAnsi"/>
          <w:kern w:val="0"/>
          <w:lang w:val="en-US"/>
        </w:rPr>
        <w:fldChar w:fldCharType="separate"/>
      </w:r>
      <w:r w:rsidRPr="00736A15">
        <w:rPr>
          <w:rFonts w:cstheme="minorHAnsi"/>
          <w:noProof/>
          <w:kern w:val="0"/>
          <w:lang w:val="en-US"/>
        </w:rPr>
        <w:t>(2012)</w:t>
      </w:r>
      <w:r>
        <w:rPr>
          <w:rFonts w:cstheme="minorHAnsi"/>
          <w:kern w:val="0"/>
          <w:lang w:val="en-US"/>
        </w:rPr>
        <w:fldChar w:fldCharType="end"/>
      </w:r>
      <w:r>
        <w:rPr>
          <w:rFonts w:cstheme="minorHAnsi"/>
          <w:kern w:val="0"/>
          <w:lang w:val="en-US"/>
        </w:rPr>
        <w:t>, the literature on the retirement process and the link to family factors are understudied</w:t>
      </w:r>
      <w:r w:rsidR="008C1F12">
        <w:rPr>
          <w:rFonts w:cstheme="minorHAnsi"/>
          <w:kern w:val="0"/>
          <w:lang w:val="en-US"/>
        </w:rPr>
        <w:t xml:space="preserve"> and the knowledge on how the family-work interface interplay with retirement timing process is scarce</w:t>
      </w:r>
      <w:r>
        <w:rPr>
          <w:rFonts w:cstheme="minorHAnsi"/>
          <w:kern w:val="0"/>
          <w:lang w:val="en-US"/>
        </w:rPr>
        <w:t xml:space="preserve">. </w:t>
      </w:r>
      <w:r w:rsidR="00A84D48" w:rsidRPr="00767EE1">
        <w:rPr>
          <w:rFonts w:cstheme="minorHAnsi"/>
          <w:kern w:val="0"/>
          <w:lang w:val="en-US"/>
        </w:rPr>
        <w:t xml:space="preserve">From a societal perspective, as well as a social work perspective, it is of vital to gain knowledge </w:t>
      </w:r>
      <w:r w:rsidR="00A84D48">
        <w:rPr>
          <w:rFonts w:cstheme="minorHAnsi"/>
          <w:kern w:val="0"/>
          <w:lang w:val="en-US"/>
        </w:rPr>
        <w:t xml:space="preserve">on </w:t>
      </w:r>
      <w:r w:rsidR="00A84D48" w:rsidRPr="00767EE1">
        <w:rPr>
          <w:rFonts w:cstheme="minorHAnsi"/>
          <w:kern w:val="0"/>
          <w:lang w:val="en-US"/>
        </w:rPr>
        <w:t xml:space="preserve">which factors might generate </w:t>
      </w:r>
      <w:r w:rsidR="00A84D48">
        <w:rPr>
          <w:rFonts w:cstheme="minorHAnsi"/>
          <w:kern w:val="0"/>
          <w:lang w:val="en-US"/>
        </w:rPr>
        <w:t xml:space="preserve">older workers </w:t>
      </w:r>
      <w:r w:rsidR="00A84D48" w:rsidRPr="00767EE1">
        <w:rPr>
          <w:rFonts w:cstheme="minorHAnsi"/>
          <w:kern w:val="0"/>
          <w:lang w:val="en-US"/>
        </w:rPr>
        <w:t>intentions to retire early or late</w:t>
      </w:r>
      <w:r w:rsidR="008C1F12">
        <w:rPr>
          <w:rFonts w:cstheme="minorHAnsi"/>
          <w:kern w:val="0"/>
          <w:lang w:val="en-US"/>
        </w:rPr>
        <w:t xml:space="preserve">, which is essential for the future of welfare and eldercare. </w:t>
      </w:r>
      <w:r w:rsidR="00A84D48" w:rsidRPr="00767EE1">
        <w:rPr>
          <w:rFonts w:cstheme="minorHAnsi"/>
          <w:kern w:val="0"/>
          <w:lang w:val="en-US"/>
        </w:rPr>
        <w:t xml:space="preserve"> </w:t>
      </w:r>
    </w:p>
    <w:p w14:paraId="22F9422A" w14:textId="77777777" w:rsidR="00A5420D" w:rsidRDefault="00A5420D" w:rsidP="005A516E">
      <w:pPr>
        <w:autoSpaceDE w:val="0"/>
        <w:autoSpaceDN w:val="0"/>
        <w:adjustRightInd w:val="0"/>
        <w:spacing w:after="0" w:line="360" w:lineRule="auto"/>
        <w:ind w:left="567" w:right="953"/>
        <w:rPr>
          <w:rFonts w:cstheme="minorHAnsi"/>
          <w:kern w:val="0"/>
          <w:lang w:val="en-US"/>
        </w:rPr>
      </w:pPr>
    </w:p>
    <w:p w14:paraId="7E543D65" w14:textId="5A99C9E8" w:rsidR="00A5420D" w:rsidRDefault="00A5420D" w:rsidP="005A516E">
      <w:pPr>
        <w:autoSpaceDE w:val="0"/>
        <w:autoSpaceDN w:val="0"/>
        <w:adjustRightInd w:val="0"/>
        <w:spacing w:after="0" w:line="360" w:lineRule="auto"/>
        <w:ind w:left="567" w:right="953"/>
        <w:rPr>
          <w:rFonts w:cstheme="minorHAnsi"/>
          <w:i/>
          <w:iCs/>
          <w:kern w:val="0"/>
          <w:sz w:val="24"/>
          <w:szCs w:val="24"/>
          <w:lang w:val="en-US"/>
        </w:rPr>
      </w:pPr>
      <w:bookmarkStart w:id="1" w:name="_Hlk159587283"/>
      <w:r w:rsidRPr="00A5420D">
        <w:rPr>
          <w:rFonts w:cstheme="minorHAnsi"/>
          <w:i/>
          <w:iCs/>
          <w:kern w:val="0"/>
          <w:sz w:val="24"/>
          <w:szCs w:val="24"/>
          <w:lang w:val="en-US"/>
        </w:rPr>
        <w:t>Health and job satisfaction</w:t>
      </w:r>
    </w:p>
    <w:bookmarkEnd w:id="1"/>
    <w:p w14:paraId="3E1CEE3E" w14:textId="77777777" w:rsidR="00192566" w:rsidRDefault="00192566" w:rsidP="00FA3ACC">
      <w:pPr>
        <w:autoSpaceDE w:val="0"/>
        <w:autoSpaceDN w:val="0"/>
        <w:adjustRightInd w:val="0"/>
        <w:spacing w:after="0" w:line="360" w:lineRule="auto"/>
        <w:ind w:left="567" w:right="953"/>
        <w:rPr>
          <w:rFonts w:cstheme="minorHAnsi"/>
          <w:i/>
          <w:iCs/>
          <w:kern w:val="0"/>
          <w:sz w:val="24"/>
          <w:szCs w:val="24"/>
          <w:lang w:val="en-US"/>
        </w:rPr>
      </w:pPr>
    </w:p>
    <w:p w14:paraId="3B644B6B" w14:textId="6F021643" w:rsidR="00FA3ACC" w:rsidRPr="00D76BB1" w:rsidRDefault="00FA3ACC" w:rsidP="00FA3ACC">
      <w:pPr>
        <w:autoSpaceDE w:val="0"/>
        <w:autoSpaceDN w:val="0"/>
        <w:adjustRightInd w:val="0"/>
        <w:spacing w:after="0" w:line="360" w:lineRule="auto"/>
        <w:ind w:left="567" w:right="953"/>
        <w:rPr>
          <w:rFonts w:cstheme="minorHAnsi"/>
          <w:i/>
          <w:iCs/>
          <w:kern w:val="0"/>
          <w:sz w:val="24"/>
          <w:szCs w:val="24"/>
          <w:lang w:val="en-US"/>
        </w:rPr>
      </w:pPr>
      <w:r w:rsidRPr="00D76BB1">
        <w:rPr>
          <w:rFonts w:cstheme="minorHAnsi"/>
          <w:i/>
          <w:iCs/>
          <w:kern w:val="0"/>
          <w:sz w:val="24"/>
          <w:szCs w:val="24"/>
          <w:lang w:val="en-US"/>
        </w:rPr>
        <w:t>The Swedish context</w:t>
      </w:r>
    </w:p>
    <w:p w14:paraId="35F82BFC" w14:textId="3F7E1FCD" w:rsidR="008C1F12" w:rsidRPr="00530665" w:rsidRDefault="00FA3ACC" w:rsidP="00530665">
      <w:pPr>
        <w:autoSpaceDE w:val="0"/>
        <w:autoSpaceDN w:val="0"/>
        <w:adjustRightInd w:val="0"/>
        <w:spacing w:after="0" w:line="360" w:lineRule="auto"/>
        <w:ind w:left="567" w:right="953"/>
        <w:rPr>
          <w:rFonts w:cstheme="minorHAnsi"/>
          <w:kern w:val="0"/>
          <w:lang w:val="en-US"/>
        </w:rPr>
      </w:pPr>
      <w:r>
        <w:rPr>
          <w:rFonts w:cstheme="minorHAnsi"/>
          <w:kern w:val="0"/>
          <w:lang w:val="en-US"/>
        </w:rPr>
        <w:t xml:space="preserve">To politically address the </w:t>
      </w:r>
      <w:r w:rsidRPr="00223E95">
        <w:rPr>
          <w:rFonts w:cstheme="minorHAnsi"/>
          <w:kern w:val="0"/>
          <w:lang w:val="en-US"/>
        </w:rPr>
        <w:t xml:space="preserve">workforce shortage </w:t>
      </w:r>
      <w:r>
        <w:rPr>
          <w:rFonts w:cstheme="minorHAnsi"/>
          <w:kern w:val="0"/>
          <w:lang w:val="en-US"/>
        </w:rPr>
        <w:t xml:space="preserve">all OECD countries </w:t>
      </w:r>
      <w:r>
        <w:rPr>
          <w:rFonts w:cstheme="minorHAnsi"/>
          <w:kern w:val="0"/>
          <w:lang w:val="en-US"/>
        </w:rPr>
        <w:fldChar w:fldCharType="begin" w:fldLock="1"/>
      </w:r>
      <w:r w:rsidR="00F03F1C">
        <w:rPr>
          <w:rFonts w:cstheme="minorHAnsi"/>
          <w:kern w:val="0"/>
          <w:lang w:val="en-US"/>
        </w:rPr>
        <w:instrText>ADDIN CSL_CITATION {"citationItems":[{"id":"ITEM-1","itemData":{"ISBN":"9789264517158","author":[{"dropping-particle":"","family":"OECD","given":"","non-dropping-particle":"","parse-names":false,"suffix":""}],"id":"ITEM-1","issued":{"date-parts":[["2020"]]},"publisher":"OECD Publishing","publisher-place":"Paris","title":"Promoting an Age‐Inclusive Workforce: Living, Learning, and Earning Longer","type":"book"},"uris":["http://www.mendeley.com/documents/?uuid=2092d9d3-f404-4845-a0c8-f77b383291ce"]}],"mendeley":{"formattedCitation":"(OECD, 2020a)","plainTextFormattedCitation":"(OECD, 2020a)","previouslyFormattedCitation":"(OECD, 2020a)"},"properties":{"noteIndex":0},"schema":"https://github.com/citation-style-language/schema/raw/master/csl-citation.json"}</w:instrText>
      </w:r>
      <w:r>
        <w:rPr>
          <w:rFonts w:cstheme="minorHAnsi"/>
          <w:kern w:val="0"/>
          <w:lang w:val="en-US"/>
        </w:rPr>
        <w:fldChar w:fldCharType="separate"/>
      </w:r>
      <w:r w:rsidRPr="00111F47">
        <w:rPr>
          <w:rFonts w:cstheme="minorHAnsi"/>
          <w:noProof/>
          <w:kern w:val="0"/>
          <w:lang w:val="en-US"/>
        </w:rPr>
        <w:t>(OECD, 2020a)</w:t>
      </w:r>
      <w:r>
        <w:rPr>
          <w:rFonts w:cstheme="minorHAnsi"/>
          <w:kern w:val="0"/>
          <w:lang w:val="en-US"/>
        </w:rPr>
        <w:fldChar w:fldCharType="end"/>
      </w:r>
      <w:r>
        <w:rPr>
          <w:rFonts w:cstheme="minorHAnsi"/>
          <w:kern w:val="0"/>
          <w:lang w:val="en-US"/>
        </w:rPr>
        <w:t xml:space="preserve"> as well as Sweden</w:t>
      </w:r>
      <w:r w:rsidRPr="00A5420D">
        <w:rPr>
          <w:rFonts w:cstheme="minorHAnsi"/>
          <w:kern w:val="0"/>
          <w:lang w:val="en-US"/>
        </w:rPr>
        <w:t xml:space="preserve"> </w:t>
      </w:r>
      <w:r>
        <w:rPr>
          <w:rFonts w:cstheme="minorHAnsi"/>
          <w:kern w:val="0"/>
          <w:lang w:val="en-US"/>
        </w:rPr>
        <w:t xml:space="preserve">have changed social security and pension schemes, to increase incentives for a delayed labor market exit </w:t>
      </w:r>
      <w:r>
        <w:rPr>
          <w:rFonts w:cstheme="minorHAnsi"/>
          <w:kern w:val="0"/>
          <w:lang w:val="en-US"/>
        </w:rPr>
        <w:fldChar w:fldCharType="begin" w:fldLock="1"/>
      </w:r>
      <w:r>
        <w:rPr>
          <w:rFonts w:cstheme="minorHAnsi"/>
          <w:kern w:val="0"/>
          <w:lang w:val="en-US"/>
        </w:rPr>
        <w:instrText>ADDIN CSL_CITATION {"citationItems":[{"id":"ITEM-1","itemData":{"DOI":"https://doi.org/10.1787/b6d3dcfc-en.","ISBN":"9789264787919","author":[{"dropping-particle":"","family":"OECD","given":"","non-dropping-particle":"","parse-names":false,"suffix":""}],"id":"ITEM-1","issued":{"date-parts":[["2019"]]},"publisher":"OECD Publishing","publisher-place":"Paris","title":"Pensions at a glance 2019: OECD and G20 Indicators","type":"book"},"uris":["http://www.mendeley.com/documents/?uuid=9c343cbc-a046-41b0-ae38-def27b2c9ff5"]}],"mendeley":{"formattedCitation":"(OECD, 2019)","plainTextFormattedCitation":"(OECD, 2019)","previouslyFormattedCitation":"(OECD, 2019)"},"properties":{"noteIndex":0},"schema":"https://github.com/citation-style-language/schema/raw/master/csl-citation.json"}</w:instrText>
      </w:r>
      <w:r>
        <w:rPr>
          <w:rFonts w:cstheme="minorHAnsi"/>
          <w:kern w:val="0"/>
          <w:lang w:val="en-US"/>
        </w:rPr>
        <w:fldChar w:fldCharType="separate"/>
      </w:r>
      <w:r w:rsidRPr="00B91B10">
        <w:rPr>
          <w:rFonts w:cstheme="minorHAnsi"/>
          <w:noProof/>
          <w:kern w:val="0"/>
          <w:lang w:val="en-US"/>
        </w:rPr>
        <w:t>(OECD, 2019)</w:t>
      </w:r>
      <w:r>
        <w:rPr>
          <w:rFonts w:cstheme="minorHAnsi"/>
          <w:kern w:val="0"/>
          <w:lang w:val="en-US"/>
        </w:rPr>
        <w:fldChar w:fldCharType="end"/>
      </w:r>
      <w:r>
        <w:rPr>
          <w:rFonts w:cstheme="minorHAnsi"/>
          <w:kern w:val="0"/>
          <w:lang w:val="en-US"/>
        </w:rPr>
        <w:t>.</w:t>
      </w:r>
      <w:bookmarkStart w:id="2" w:name="_Hlk156554279"/>
      <w:r>
        <w:rPr>
          <w:rFonts w:cstheme="minorHAnsi"/>
          <w:kern w:val="0"/>
          <w:lang w:val="en-US"/>
        </w:rPr>
        <w:t xml:space="preserve"> T</w:t>
      </w:r>
      <w:r w:rsidRPr="006C63ED">
        <w:rPr>
          <w:rFonts w:cstheme="minorHAnsi"/>
          <w:kern w:val="0"/>
          <w:lang w:val="en-US"/>
        </w:rPr>
        <w:t xml:space="preserve">he retirement age </w:t>
      </w:r>
      <w:r>
        <w:rPr>
          <w:rFonts w:cstheme="minorHAnsi"/>
          <w:kern w:val="0"/>
          <w:lang w:val="en-US"/>
        </w:rPr>
        <w:t>in Sweden is</w:t>
      </w:r>
      <w:r w:rsidRPr="006C63ED">
        <w:rPr>
          <w:rFonts w:cstheme="minorHAnsi"/>
          <w:kern w:val="0"/>
          <w:lang w:val="en-US"/>
        </w:rPr>
        <w:t xml:space="preserve"> flexible, i.e.,</w:t>
      </w:r>
      <w:r>
        <w:rPr>
          <w:rFonts w:cstheme="minorHAnsi"/>
          <w:kern w:val="0"/>
          <w:lang w:val="en-US"/>
        </w:rPr>
        <w:t xml:space="preserve"> at the time of the study</w:t>
      </w:r>
      <w:r w:rsidRPr="006C63ED">
        <w:rPr>
          <w:rFonts w:cstheme="minorHAnsi"/>
          <w:kern w:val="0"/>
          <w:lang w:val="en-US"/>
        </w:rPr>
        <w:t xml:space="preserve"> individuals </w:t>
      </w:r>
      <w:r>
        <w:rPr>
          <w:rFonts w:cstheme="minorHAnsi"/>
          <w:kern w:val="0"/>
          <w:lang w:val="en-US"/>
        </w:rPr>
        <w:t xml:space="preserve">were able </w:t>
      </w:r>
      <w:r w:rsidRPr="006C63ED">
        <w:rPr>
          <w:rFonts w:cstheme="minorHAnsi"/>
          <w:kern w:val="0"/>
          <w:lang w:val="en-US"/>
        </w:rPr>
        <w:t xml:space="preserve">retire </w:t>
      </w:r>
      <w:r>
        <w:rPr>
          <w:rFonts w:cstheme="minorHAnsi"/>
          <w:kern w:val="0"/>
          <w:lang w:val="en-US"/>
        </w:rPr>
        <w:t xml:space="preserve">fully or partly </w:t>
      </w:r>
      <w:r w:rsidRPr="006C63ED">
        <w:rPr>
          <w:rFonts w:cstheme="minorHAnsi"/>
          <w:kern w:val="0"/>
          <w:lang w:val="en-US"/>
        </w:rPr>
        <w:t>between 6</w:t>
      </w:r>
      <w:r>
        <w:rPr>
          <w:rFonts w:cstheme="minorHAnsi"/>
          <w:kern w:val="0"/>
          <w:lang w:val="en-US"/>
        </w:rPr>
        <w:t>2</w:t>
      </w:r>
      <w:r w:rsidRPr="006C63ED">
        <w:rPr>
          <w:rFonts w:cstheme="minorHAnsi"/>
          <w:kern w:val="0"/>
          <w:lang w:val="en-US"/>
        </w:rPr>
        <w:t xml:space="preserve"> and 6</w:t>
      </w:r>
      <w:r>
        <w:rPr>
          <w:rFonts w:cstheme="minorHAnsi"/>
          <w:kern w:val="0"/>
          <w:lang w:val="en-US"/>
        </w:rPr>
        <w:t xml:space="preserve">8 </w:t>
      </w:r>
      <w:r w:rsidR="00BD2B95">
        <w:rPr>
          <w:rFonts w:cstheme="minorHAnsi"/>
          <w:kern w:val="0"/>
          <w:lang w:val="en-US"/>
        </w:rPr>
        <w:t>years and</w:t>
      </w:r>
      <w:r w:rsidRPr="006C63ED">
        <w:rPr>
          <w:rFonts w:cstheme="minorHAnsi"/>
          <w:kern w:val="0"/>
          <w:lang w:val="en-US"/>
        </w:rPr>
        <w:t xml:space="preserve"> </w:t>
      </w:r>
      <w:r>
        <w:rPr>
          <w:rFonts w:cstheme="minorHAnsi"/>
          <w:kern w:val="0"/>
          <w:lang w:val="en-US"/>
        </w:rPr>
        <w:t>receive public pension</w:t>
      </w:r>
      <w:r w:rsidR="00BD2B95">
        <w:rPr>
          <w:rFonts w:cstheme="minorHAnsi"/>
          <w:kern w:val="0"/>
          <w:lang w:val="en-US"/>
        </w:rPr>
        <w:t xml:space="preserve"> benefit</w:t>
      </w:r>
      <w:r>
        <w:rPr>
          <w:rFonts w:cstheme="minorHAnsi"/>
          <w:kern w:val="0"/>
          <w:lang w:val="en-US"/>
        </w:rPr>
        <w:t>s</w:t>
      </w:r>
      <w:r w:rsidRPr="006C63ED">
        <w:rPr>
          <w:rFonts w:cstheme="minorHAnsi"/>
          <w:kern w:val="0"/>
          <w:lang w:val="en-US"/>
        </w:rPr>
        <w:t xml:space="preserve">. After </w:t>
      </w:r>
      <w:r>
        <w:rPr>
          <w:rFonts w:cstheme="minorHAnsi"/>
          <w:kern w:val="0"/>
          <w:lang w:val="en-US"/>
        </w:rPr>
        <w:t xml:space="preserve">the age of </w:t>
      </w:r>
      <w:r w:rsidRPr="006C63ED">
        <w:rPr>
          <w:rFonts w:cstheme="minorHAnsi"/>
          <w:kern w:val="0"/>
          <w:lang w:val="en-US"/>
        </w:rPr>
        <w:t>6</w:t>
      </w:r>
      <w:r>
        <w:rPr>
          <w:rFonts w:cstheme="minorHAnsi"/>
          <w:kern w:val="0"/>
          <w:lang w:val="en-US"/>
        </w:rPr>
        <w:t>8</w:t>
      </w:r>
      <w:r w:rsidRPr="006C63ED">
        <w:rPr>
          <w:rFonts w:cstheme="minorHAnsi"/>
          <w:kern w:val="0"/>
          <w:lang w:val="en-US"/>
        </w:rPr>
        <w:t xml:space="preserve">, individuals </w:t>
      </w:r>
      <w:r w:rsidR="00BD2B95">
        <w:rPr>
          <w:rFonts w:cstheme="minorHAnsi"/>
          <w:kern w:val="0"/>
          <w:lang w:val="en-US"/>
        </w:rPr>
        <w:t>could</w:t>
      </w:r>
      <w:r>
        <w:rPr>
          <w:rFonts w:cstheme="minorHAnsi"/>
          <w:kern w:val="0"/>
          <w:lang w:val="en-US"/>
        </w:rPr>
        <w:t xml:space="preserve"> only </w:t>
      </w:r>
      <w:r w:rsidRPr="006C63ED">
        <w:rPr>
          <w:rFonts w:cstheme="minorHAnsi"/>
          <w:kern w:val="0"/>
          <w:lang w:val="en-US"/>
        </w:rPr>
        <w:t>continue to work with employers</w:t>
      </w:r>
      <w:r>
        <w:rPr>
          <w:rFonts w:cstheme="minorHAnsi"/>
          <w:kern w:val="0"/>
          <w:lang w:val="en-US"/>
        </w:rPr>
        <w:t>’</w:t>
      </w:r>
      <w:r w:rsidRPr="006C63ED">
        <w:rPr>
          <w:rFonts w:cstheme="minorHAnsi"/>
          <w:kern w:val="0"/>
          <w:lang w:val="en-US"/>
        </w:rPr>
        <w:t xml:space="preserve"> agreement </w:t>
      </w:r>
      <w:r w:rsidRPr="006C63ED">
        <w:rPr>
          <w:rFonts w:cstheme="minorHAnsi"/>
          <w:kern w:val="0"/>
          <w:lang w:val="en-US"/>
        </w:rPr>
        <w:fldChar w:fldCharType="begin" w:fldLock="1"/>
      </w:r>
      <w:r w:rsidRPr="006C63ED">
        <w:rPr>
          <w:rFonts w:cstheme="minorHAnsi"/>
          <w:kern w:val="0"/>
          <w:lang w:val="en-US"/>
        </w:rPr>
        <w:instrText>ADDIN CSL_CITATION {"citationItems":[{"id":"ITEM-1","itemData":{"URL":"https://www.pensionsmyndigheten.se/statistik/publikationer/pensionsaldrar-arbetslivets-langd-2022/","accessed":{"date-parts":[["2023","10","5"]]},"author":[{"dropping-particle":"","family":"The Swedish Pensions Agency","given":"","non-dropping-particle":"","parse-names":false,"suffix":""}],"id":"ITEM-1","issued":{"date-parts":[["2022"]]},"title":"Pensionsåldrar och arbetslivets längd. Svar på regleringsbrevsuppdrag 2023","type":"webpage"},"uris":["http://www.mendeley.com/documents/?uuid=62551a41-21ad-41e2-9e73-2d9d73bdfb14"]}],"mendeley":{"formattedCitation":"(The Swedish Pensions Agency, 2022)","plainTextFormattedCitation":"(The Swedish Pensions Agency, 2022)","previouslyFormattedCitation":"(The Swedish Pensions Agency, 2022)"},"properties":{"noteIndex":0},"schema":"https://github.com/citation-style-language/schema/raw/master/csl-citation.json"}</w:instrText>
      </w:r>
      <w:r w:rsidRPr="006C63ED">
        <w:rPr>
          <w:rFonts w:cstheme="minorHAnsi"/>
          <w:kern w:val="0"/>
          <w:lang w:val="en-US"/>
        </w:rPr>
        <w:fldChar w:fldCharType="separate"/>
      </w:r>
      <w:r w:rsidRPr="006C63ED">
        <w:rPr>
          <w:rFonts w:cstheme="minorHAnsi"/>
          <w:noProof/>
          <w:kern w:val="0"/>
          <w:lang w:val="en-US"/>
        </w:rPr>
        <w:t>(The Swedish Pensions Agency, 2022)</w:t>
      </w:r>
      <w:r w:rsidRPr="006C63ED">
        <w:rPr>
          <w:rFonts w:cstheme="minorHAnsi"/>
          <w:kern w:val="0"/>
          <w:lang w:val="en-US"/>
        </w:rPr>
        <w:fldChar w:fldCharType="end"/>
      </w:r>
      <w:r w:rsidRPr="006C63ED">
        <w:rPr>
          <w:rFonts w:cstheme="minorHAnsi"/>
          <w:kern w:val="0"/>
          <w:lang w:val="en-US"/>
        </w:rPr>
        <w:t>.</w:t>
      </w:r>
      <w:r w:rsidRPr="0051237A">
        <w:rPr>
          <w:rFonts w:cstheme="minorHAnsi"/>
          <w:kern w:val="0"/>
          <w:lang w:val="en-US"/>
        </w:rPr>
        <w:t xml:space="preserve"> </w:t>
      </w:r>
      <w:r>
        <w:rPr>
          <w:rFonts w:cstheme="minorHAnsi"/>
          <w:kern w:val="0"/>
          <w:lang w:val="en-US"/>
        </w:rPr>
        <w:t>The policy intervention</w:t>
      </w:r>
      <w:r w:rsidR="00BD2B95">
        <w:rPr>
          <w:rFonts w:cstheme="minorHAnsi"/>
          <w:kern w:val="0"/>
          <w:lang w:val="en-US"/>
        </w:rPr>
        <w:t>s</w:t>
      </w:r>
      <w:r>
        <w:rPr>
          <w:rFonts w:cstheme="minorHAnsi"/>
          <w:kern w:val="0"/>
          <w:lang w:val="en-US"/>
        </w:rPr>
        <w:t xml:space="preserve"> to encourage individuals to work longer are universal, however these interventions </w:t>
      </w:r>
      <w:bookmarkEnd w:id="2"/>
      <w:r w:rsidRPr="004E55EB">
        <w:rPr>
          <w:rFonts w:cstheme="minorHAnsi"/>
          <w:kern w:val="0"/>
          <w:lang w:val="en-US"/>
        </w:rPr>
        <w:t>may have different effects in different workforce sectors</w:t>
      </w:r>
      <w:r>
        <w:rPr>
          <w:rFonts w:cstheme="minorHAnsi"/>
          <w:kern w:val="0"/>
          <w:lang w:val="en-US"/>
        </w:rPr>
        <w:t xml:space="preserve">. </w:t>
      </w:r>
      <w:r w:rsidR="008C1F12">
        <w:rPr>
          <w:rFonts w:cstheme="minorHAnsi"/>
          <w:kern w:val="0"/>
          <w:lang w:val="en-US"/>
        </w:rPr>
        <w:t>A</w:t>
      </w:r>
      <w:r w:rsidRPr="006C63ED">
        <w:rPr>
          <w:rFonts w:cstheme="minorHAnsi"/>
          <w:kern w:val="0"/>
          <w:lang w:val="en-US"/>
        </w:rPr>
        <w:t xml:space="preserve">n evaluation of the effect of the change in pension schemes with raised retirement age in Sweden indicated individuals with low education and low income, typically workers in the </w:t>
      </w:r>
      <w:r>
        <w:rPr>
          <w:rFonts w:cstheme="minorHAnsi"/>
          <w:kern w:val="0"/>
          <w:lang w:val="en-US"/>
        </w:rPr>
        <w:t>eldercare</w:t>
      </w:r>
      <w:r w:rsidRPr="006C63ED">
        <w:rPr>
          <w:rFonts w:cstheme="minorHAnsi"/>
          <w:kern w:val="0"/>
          <w:lang w:val="en-US"/>
        </w:rPr>
        <w:t xml:space="preserve">, tend to retire at age 61, compared to individuals with high education and high income who tend to retire at age 67 </w:t>
      </w:r>
      <w:r w:rsidRPr="006C63ED">
        <w:rPr>
          <w:rFonts w:cstheme="minorHAnsi"/>
          <w:kern w:val="0"/>
          <w:lang w:val="en-US"/>
        </w:rPr>
        <w:fldChar w:fldCharType="begin" w:fldLock="1"/>
      </w:r>
      <w:r w:rsidRPr="006C63ED">
        <w:rPr>
          <w:rFonts w:cstheme="minorHAnsi"/>
          <w:kern w:val="0"/>
          <w:lang w:val="en-US"/>
        </w:rPr>
        <w:instrText>ADDIN CSL_CITATION {"citationItems":[{"id":"ITEM-1","itemData":{"author":[{"dropping-particle":"","family":"ISF","given":"","non-dropping-particle":"","parse-names":false,"suffix":""}],"id":"ITEM-1","issued":{"date-parts":[["2023"]]},"title":"Höjda åldersgränser i pensionssystemet. En analys av hur 2020 års höjning av LAS-åldern och lägsta pensionsåldern påverkade försörjning och pensionering","type":"report"},"uris":["http://www.mendeley.com/documents/?uuid=ba0e9994-133b-46f2-b11d-baefaa3b4536"]}],"mendeley":{"formattedCitation":"(ISF, 2023)","plainTextFormattedCitation":"(ISF, 2023)","previouslyFormattedCitation":"(ISF, 2023)"},"properties":{"noteIndex":0},"schema":"https://github.com/citation-style-language/schema/raw/master/csl-citation.json"}</w:instrText>
      </w:r>
      <w:r w:rsidRPr="006C63ED">
        <w:rPr>
          <w:rFonts w:cstheme="minorHAnsi"/>
          <w:kern w:val="0"/>
          <w:lang w:val="en-US"/>
        </w:rPr>
        <w:fldChar w:fldCharType="separate"/>
      </w:r>
      <w:r w:rsidRPr="006C63ED">
        <w:rPr>
          <w:rFonts w:cstheme="minorHAnsi"/>
          <w:noProof/>
          <w:kern w:val="0"/>
          <w:lang w:val="en-US"/>
        </w:rPr>
        <w:t>(ISF, 2023)</w:t>
      </w:r>
      <w:r w:rsidRPr="006C63ED">
        <w:rPr>
          <w:rFonts w:cstheme="minorHAnsi"/>
          <w:kern w:val="0"/>
          <w:lang w:val="en-US"/>
        </w:rPr>
        <w:fldChar w:fldCharType="end"/>
      </w:r>
      <w:r w:rsidRPr="006C63ED">
        <w:rPr>
          <w:rFonts w:cstheme="minorHAnsi"/>
          <w:kern w:val="0"/>
          <w:lang w:val="en-US"/>
        </w:rPr>
        <w:t xml:space="preserve">. </w:t>
      </w:r>
      <w:r w:rsidR="008C1F12" w:rsidRPr="00530665">
        <w:rPr>
          <w:rFonts w:cstheme="minorHAnsi"/>
          <w:kern w:val="0"/>
          <w:lang w:val="en-US"/>
        </w:rPr>
        <w:t>Indicating that the official objectives of extending working life are at odds with the actual retirement age.</w:t>
      </w:r>
    </w:p>
    <w:p w14:paraId="6FAE7172" w14:textId="77777777" w:rsidR="008C1F12" w:rsidRDefault="008C1F12" w:rsidP="00530665">
      <w:pPr>
        <w:autoSpaceDE w:val="0"/>
        <w:autoSpaceDN w:val="0"/>
        <w:adjustRightInd w:val="0"/>
        <w:spacing w:after="0" w:line="360" w:lineRule="auto"/>
        <w:ind w:right="953"/>
        <w:rPr>
          <w:rFonts w:cstheme="minorHAnsi"/>
          <w:kern w:val="0"/>
          <w:lang w:val="en-US"/>
        </w:rPr>
      </w:pPr>
    </w:p>
    <w:p w14:paraId="012D3AD1" w14:textId="661C87EC" w:rsidR="00FA3ACC" w:rsidRDefault="008C1F12" w:rsidP="005D2808">
      <w:pPr>
        <w:autoSpaceDE w:val="0"/>
        <w:autoSpaceDN w:val="0"/>
        <w:adjustRightInd w:val="0"/>
        <w:spacing w:after="0" w:line="360" w:lineRule="auto"/>
        <w:ind w:left="567" w:right="953"/>
        <w:rPr>
          <w:rFonts w:cstheme="minorHAnsi"/>
          <w:kern w:val="0"/>
          <w:lang w:val="en-US"/>
        </w:rPr>
      </w:pPr>
      <w:r>
        <w:rPr>
          <w:rFonts w:cstheme="minorHAnsi"/>
          <w:kern w:val="0"/>
          <w:lang w:val="en-US"/>
        </w:rPr>
        <w:t>This emphasize why the Swedish eldercare</w:t>
      </w:r>
      <w:r w:rsidRPr="00A92BCC">
        <w:rPr>
          <w:rFonts w:cstheme="minorHAnsi"/>
          <w:kern w:val="0"/>
          <w:lang w:val="en-US"/>
        </w:rPr>
        <w:t xml:space="preserve"> </w:t>
      </w:r>
      <w:r>
        <w:rPr>
          <w:rFonts w:cstheme="minorHAnsi"/>
          <w:kern w:val="0"/>
          <w:lang w:val="en-US"/>
        </w:rPr>
        <w:t xml:space="preserve">is </w:t>
      </w:r>
      <w:r w:rsidRPr="00A92BCC">
        <w:rPr>
          <w:rFonts w:cstheme="minorHAnsi"/>
          <w:kern w:val="0"/>
          <w:lang w:val="en-US"/>
        </w:rPr>
        <w:t xml:space="preserve">an </w:t>
      </w:r>
      <w:r>
        <w:rPr>
          <w:rFonts w:cstheme="minorHAnsi"/>
          <w:kern w:val="0"/>
          <w:lang w:val="en-US"/>
        </w:rPr>
        <w:t>interesting context</w:t>
      </w:r>
      <w:r w:rsidRPr="00A92BCC">
        <w:rPr>
          <w:rFonts w:cstheme="minorHAnsi"/>
          <w:kern w:val="0"/>
          <w:lang w:val="en-US"/>
        </w:rPr>
        <w:t xml:space="preserve"> to study the link between </w:t>
      </w:r>
      <w:r>
        <w:rPr>
          <w:rFonts w:cstheme="minorHAnsi"/>
          <w:kern w:val="0"/>
          <w:lang w:val="en-US"/>
        </w:rPr>
        <w:t>family to work conflict</w:t>
      </w:r>
      <w:r w:rsidRPr="00A92BCC">
        <w:rPr>
          <w:rFonts w:cstheme="minorHAnsi"/>
          <w:kern w:val="0"/>
          <w:lang w:val="en-US"/>
        </w:rPr>
        <w:t xml:space="preserve">, </w:t>
      </w:r>
      <w:r>
        <w:rPr>
          <w:rFonts w:cstheme="minorHAnsi"/>
          <w:kern w:val="0"/>
          <w:lang w:val="en-US"/>
        </w:rPr>
        <w:t>psychosocial work characteristics,</w:t>
      </w:r>
      <w:r w:rsidRPr="00A92BCC">
        <w:rPr>
          <w:rFonts w:cstheme="minorHAnsi"/>
          <w:kern w:val="0"/>
          <w:lang w:val="en-US"/>
        </w:rPr>
        <w:t xml:space="preserve"> and retirement intentions</w:t>
      </w:r>
      <w:r>
        <w:rPr>
          <w:rFonts w:cstheme="minorHAnsi"/>
          <w:kern w:val="0"/>
          <w:lang w:val="en-US"/>
        </w:rPr>
        <w:t>.</w:t>
      </w:r>
      <w:r w:rsidR="00530665">
        <w:rPr>
          <w:rFonts w:cstheme="minorHAnsi"/>
          <w:kern w:val="0"/>
          <w:lang w:val="en-US"/>
        </w:rPr>
        <w:t xml:space="preserve"> </w:t>
      </w:r>
      <w:r w:rsidR="00FA3ACC">
        <w:rPr>
          <w:rFonts w:cstheme="minorHAnsi"/>
          <w:kern w:val="0"/>
          <w:lang w:val="en-US"/>
        </w:rPr>
        <w:t xml:space="preserve">Drivers for this research are the potentially different </w:t>
      </w:r>
      <w:r w:rsidR="00FA3ACC">
        <w:rPr>
          <w:rFonts w:cstheme="minorHAnsi"/>
          <w:kern w:val="0"/>
          <w:lang w:val="en-US"/>
        </w:rPr>
        <w:lastRenderedPageBreak/>
        <w:t xml:space="preserve">variables affecting intentions to continue working than those variables affecting older eldercare workers intentions to retire early, </w:t>
      </w:r>
      <w:r w:rsidR="00FA3ACC" w:rsidRPr="00903451">
        <w:rPr>
          <w:rFonts w:cstheme="minorHAnsi"/>
          <w:kern w:val="0"/>
          <w:lang w:val="en-US"/>
        </w:rPr>
        <w:t xml:space="preserve">differences not revealed in </w:t>
      </w:r>
      <w:r w:rsidR="00FA3ACC">
        <w:rPr>
          <w:rFonts w:cstheme="minorHAnsi"/>
          <w:kern w:val="0"/>
          <w:lang w:val="en-US"/>
        </w:rPr>
        <w:t>previous</w:t>
      </w:r>
      <w:r w:rsidR="00FA3ACC" w:rsidRPr="00903451">
        <w:rPr>
          <w:rFonts w:cstheme="minorHAnsi"/>
          <w:kern w:val="0"/>
          <w:lang w:val="en-US"/>
        </w:rPr>
        <w:t xml:space="preserve"> literature</w:t>
      </w:r>
      <w:r w:rsidR="00FA3ACC">
        <w:rPr>
          <w:rFonts w:cstheme="minorHAnsi"/>
          <w:kern w:val="0"/>
          <w:lang w:val="en-US"/>
        </w:rPr>
        <w:t xml:space="preserve">. </w:t>
      </w:r>
    </w:p>
    <w:p w14:paraId="4C46178B" w14:textId="77777777" w:rsidR="001B3517" w:rsidRPr="00D5182D" w:rsidRDefault="001B3517" w:rsidP="005A516E">
      <w:pPr>
        <w:autoSpaceDE w:val="0"/>
        <w:autoSpaceDN w:val="0"/>
        <w:adjustRightInd w:val="0"/>
        <w:spacing w:after="0" w:line="360" w:lineRule="auto"/>
        <w:ind w:left="567" w:right="953"/>
        <w:rPr>
          <w:rFonts w:cstheme="minorHAnsi"/>
          <w:kern w:val="0"/>
          <w:lang w:val="en-US"/>
        </w:rPr>
      </w:pPr>
    </w:p>
    <w:p w14:paraId="373F77A7" w14:textId="7C65305A" w:rsidR="006E3E2F" w:rsidRPr="005A516E" w:rsidRDefault="005A516E" w:rsidP="006E3E2F">
      <w:pPr>
        <w:autoSpaceDE w:val="0"/>
        <w:autoSpaceDN w:val="0"/>
        <w:adjustRightInd w:val="0"/>
        <w:spacing w:after="0" w:line="360" w:lineRule="auto"/>
        <w:ind w:left="567" w:right="953"/>
        <w:rPr>
          <w:rFonts w:cstheme="minorHAnsi"/>
          <w:i/>
          <w:iCs/>
          <w:kern w:val="0"/>
          <w:sz w:val="24"/>
          <w:szCs w:val="24"/>
          <w:lang w:val="en-US"/>
        </w:rPr>
      </w:pPr>
      <w:r w:rsidRPr="005A516E">
        <w:rPr>
          <w:rFonts w:cstheme="minorHAnsi"/>
          <w:i/>
          <w:iCs/>
          <w:kern w:val="0"/>
          <w:sz w:val="24"/>
          <w:szCs w:val="24"/>
          <w:lang w:val="en-US"/>
        </w:rPr>
        <w:t>Theoretical framework</w:t>
      </w:r>
    </w:p>
    <w:p w14:paraId="76FCC03F" w14:textId="2F8EF283" w:rsidR="006E3E2F" w:rsidRDefault="00D65D82" w:rsidP="000B028B">
      <w:pPr>
        <w:autoSpaceDE w:val="0"/>
        <w:autoSpaceDN w:val="0"/>
        <w:adjustRightInd w:val="0"/>
        <w:spacing w:after="0" w:line="360" w:lineRule="auto"/>
        <w:ind w:left="567" w:right="953"/>
        <w:rPr>
          <w:rFonts w:cstheme="minorHAnsi"/>
          <w:kern w:val="0"/>
          <w:lang w:val="en-US"/>
        </w:rPr>
      </w:pPr>
      <w:r w:rsidRPr="00332A0C">
        <w:rPr>
          <w:rFonts w:cstheme="minorHAnsi"/>
          <w:kern w:val="0"/>
          <w:lang w:val="en-US"/>
        </w:rPr>
        <w:t xml:space="preserve">The present study </w:t>
      </w:r>
      <w:r w:rsidR="00D83015">
        <w:rPr>
          <w:rFonts w:cstheme="minorHAnsi"/>
          <w:kern w:val="0"/>
          <w:lang w:val="en-US"/>
        </w:rPr>
        <w:t>will use</w:t>
      </w:r>
      <w:r w:rsidRPr="00332A0C">
        <w:rPr>
          <w:rFonts w:cstheme="minorHAnsi"/>
          <w:kern w:val="0"/>
          <w:lang w:val="en-US"/>
        </w:rPr>
        <w:t xml:space="preserve"> the Job Demands-Resources theory </w:t>
      </w:r>
      <w:r w:rsidRPr="00332A0C">
        <w:rPr>
          <w:rFonts w:cstheme="minorHAnsi"/>
          <w:kern w:val="0"/>
          <w:lang w:val="en-US"/>
        </w:rPr>
        <w:fldChar w:fldCharType="begin" w:fldLock="1"/>
      </w:r>
      <w:r w:rsidRPr="00332A0C">
        <w:rPr>
          <w:rFonts w:cstheme="minorHAnsi"/>
          <w:kern w:val="0"/>
          <w:lang w:val="en-US"/>
        </w:rPr>
        <w:instrText>ADDIN CSL_CITATION {"citationItems":[{"id":"ITEM-1","itemData":{"DOI":"https://doi.org/10.1037/ocp0000056","abstract":"The job demands</w:instrText>
      </w:r>
      <w:r w:rsidRPr="00332A0C">
        <w:rPr>
          <w:rFonts w:ascii="Cambria Math" w:hAnsi="Cambria Math" w:cs="Cambria Math"/>
          <w:kern w:val="0"/>
          <w:lang w:val="en-US"/>
        </w:rPr>
        <w:instrText>⫺</w:instrText>
      </w:r>
      <w:r w:rsidRPr="00332A0C">
        <w:rPr>
          <w:rFonts w:cstheme="minorHAnsi"/>
          <w:kern w:val="0"/>
          <w:lang w:val="en-US"/>
        </w:rPr>
        <w:instrText>resources (JD-R) model was introduced in the international literature 15 years ago (Demerouti, Bakker, Nachreiner, &amp; Schaufeli, 2001). The model has been applied in thousands of organizations and has inspired hundreds of empirical articles, including 1 of the most downloaded articles of the Journal of Occupational Health Psychology (Bakker, Demerouti, &amp; Euwema, 2005). This article provides evidence for the buffering role of various job resources on the impact of various job demands on burnout. In the present article, we look back on the first 10 years of the JD-R model (2001–2010), and discuss how the model matured into JD-R theory (2011–2016). Moreover, we look at the future of the theory and outline which new issues in JD-R theory are worthwhile of investigation. We also discuss practical applications. It is our hope that JD-R theory will continue to inspire researchers and practitioners who want to promote employee well-being and effective organizational functioning.","author":[{"dropping-particle":"","family":"Bakker","given":"Arnold B.","non-dropping-particle":"","parse-names":false,"suffix":""},{"dropping-particle":"","family":"Demerouti","given":"Evangelia","non-dropping-particle":"","parse-names":false,"suffix":""}],"container-title":"Journal of Occupational Health Psychology","id":"ITEM-1","issued":{"date-parts":[["2016"]]},"page":"273-285","title":"Job demands-resources theory: Taking stock and looking forward","type":"article-journal","volume":"22"},"uris":["http://www.mendeley.com/documents/?uuid=cf3e6c7c-9e5b-4c95-a3b1-7059a5a8804c"]}],"mendeley":{"formattedCitation":"(Bakker &amp; Demerouti, 2016)","plainTextFormattedCitation":"(Bakker &amp; Demerouti, 2016)","previouslyFormattedCitation":"(Bakker &amp; Demerouti, 2016)"},"properties":{"noteIndex":0},"schema":"https://github.com/citation-style-language/schema/raw/master/csl-citation.json"}</w:instrText>
      </w:r>
      <w:r w:rsidRPr="00332A0C">
        <w:rPr>
          <w:rFonts w:cstheme="minorHAnsi"/>
          <w:kern w:val="0"/>
          <w:lang w:val="en-US"/>
        </w:rPr>
        <w:fldChar w:fldCharType="separate"/>
      </w:r>
      <w:r w:rsidRPr="00332A0C">
        <w:rPr>
          <w:rFonts w:cstheme="minorHAnsi"/>
          <w:noProof/>
          <w:kern w:val="0"/>
          <w:lang w:val="en-US"/>
        </w:rPr>
        <w:t>(Bakker &amp; Demerouti, 2016)</w:t>
      </w:r>
      <w:r w:rsidRPr="00332A0C">
        <w:rPr>
          <w:rFonts w:cstheme="minorHAnsi"/>
          <w:kern w:val="0"/>
          <w:lang w:val="en-US"/>
        </w:rPr>
        <w:fldChar w:fldCharType="end"/>
      </w:r>
      <w:r w:rsidRPr="00332A0C">
        <w:rPr>
          <w:rFonts w:cstheme="minorHAnsi"/>
          <w:kern w:val="0"/>
          <w:lang w:val="en-US"/>
        </w:rPr>
        <w:t xml:space="preserve"> in the context of </w:t>
      </w:r>
      <w:r w:rsidR="000B028B">
        <w:rPr>
          <w:rFonts w:cstheme="minorHAnsi"/>
          <w:kern w:val="0"/>
          <w:lang w:val="en-US"/>
        </w:rPr>
        <w:t xml:space="preserve">the </w:t>
      </w:r>
      <w:r w:rsidRPr="00332A0C">
        <w:rPr>
          <w:rFonts w:cstheme="minorHAnsi"/>
          <w:kern w:val="0"/>
          <w:lang w:val="en-US"/>
        </w:rPr>
        <w:t>Swedish eldercare</w:t>
      </w:r>
      <w:r w:rsidR="000B028B">
        <w:rPr>
          <w:rFonts w:cstheme="minorHAnsi"/>
          <w:kern w:val="0"/>
          <w:lang w:val="en-US"/>
        </w:rPr>
        <w:t>.</w:t>
      </w:r>
      <w:r w:rsidRPr="00332A0C">
        <w:rPr>
          <w:rFonts w:cstheme="minorHAnsi"/>
          <w:kern w:val="0"/>
          <w:lang w:val="en-US"/>
        </w:rPr>
        <w:t xml:space="preserve"> </w:t>
      </w:r>
      <w:r w:rsidR="005D190D">
        <w:rPr>
          <w:rFonts w:cstheme="minorHAnsi"/>
          <w:kern w:val="0"/>
          <w:lang w:val="en-US"/>
        </w:rPr>
        <w:t>The JD</w:t>
      </w:r>
      <w:r w:rsidR="00564E28">
        <w:rPr>
          <w:rFonts w:cstheme="minorHAnsi"/>
          <w:kern w:val="0"/>
          <w:lang w:val="en-US"/>
        </w:rPr>
        <w:t>-</w:t>
      </w:r>
      <w:r w:rsidR="005D190D">
        <w:rPr>
          <w:rFonts w:cstheme="minorHAnsi"/>
          <w:kern w:val="0"/>
          <w:lang w:val="en-US"/>
        </w:rPr>
        <w:t>R theory posits job demands, such as high workload, increase the risk of strain and poor health</w:t>
      </w:r>
      <w:r w:rsidR="00564E28">
        <w:rPr>
          <w:rFonts w:cstheme="minorHAnsi"/>
          <w:kern w:val="0"/>
          <w:lang w:val="en-US"/>
        </w:rPr>
        <w:t>, while j</w:t>
      </w:r>
      <w:r w:rsidR="005D190D">
        <w:rPr>
          <w:rFonts w:cstheme="minorHAnsi"/>
          <w:kern w:val="0"/>
          <w:lang w:val="en-US"/>
        </w:rPr>
        <w:t>ob resources, such as social support, mitigate the negative effects of job demands</w:t>
      </w:r>
      <w:r w:rsidR="00564E28">
        <w:rPr>
          <w:rFonts w:cstheme="minorHAnsi"/>
          <w:kern w:val="0"/>
          <w:lang w:val="en-US"/>
        </w:rPr>
        <w:t xml:space="preserve">. This is known as the “buffering” effect. the JD-R theory is driven by two </w:t>
      </w:r>
      <w:r w:rsidR="000B028B">
        <w:rPr>
          <w:rFonts w:cstheme="minorHAnsi"/>
          <w:kern w:val="0"/>
          <w:lang w:val="en-US"/>
        </w:rPr>
        <w:t xml:space="preserve">parallel </w:t>
      </w:r>
      <w:r w:rsidR="005D2808">
        <w:rPr>
          <w:rFonts w:cstheme="minorHAnsi"/>
          <w:kern w:val="0"/>
          <w:lang w:val="en-US"/>
        </w:rPr>
        <w:t>processes:</w:t>
      </w:r>
      <w:r w:rsidR="00564E28">
        <w:rPr>
          <w:rFonts w:cstheme="minorHAnsi"/>
          <w:kern w:val="0"/>
          <w:lang w:val="en-US"/>
        </w:rPr>
        <w:t xml:space="preserve"> the health impairment and work engagement process. </w:t>
      </w:r>
      <w:r w:rsidR="000B028B">
        <w:rPr>
          <w:rFonts w:cstheme="minorHAnsi"/>
          <w:kern w:val="0"/>
          <w:lang w:val="en-US"/>
        </w:rPr>
        <w:t xml:space="preserve">Job strain and poor health, such as low general health, are associated with early retirement intentions, and high work engagement, such as low job satisfaction, are associated with late retirement intentions (ref).  In this study we will use the JD-R theory </w:t>
      </w:r>
      <w:r w:rsidR="000B028B" w:rsidRPr="00332A0C">
        <w:rPr>
          <w:rFonts w:cstheme="minorHAnsi"/>
          <w:kern w:val="0"/>
          <w:lang w:val="en-US"/>
        </w:rPr>
        <w:t xml:space="preserve">to </w:t>
      </w:r>
      <w:r w:rsidR="000B028B">
        <w:rPr>
          <w:rFonts w:cstheme="minorHAnsi"/>
          <w:kern w:val="0"/>
          <w:lang w:val="en-US"/>
        </w:rPr>
        <w:t>explore</w:t>
      </w:r>
      <w:r w:rsidR="000B028B" w:rsidRPr="00332A0C">
        <w:rPr>
          <w:rFonts w:cstheme="minorHAnsi"/>
          <w:kern w:val="0"/>
          <w:lang w:val="en-US"/>
        </w:rPr>
        <w:t xml:space="preserve"> what </w:t>
      </w:r>
      <w:r w:rsidR="000B028B">
        <w:rPr>
          <w:rFonts w:cstheme="minorHAnsi"/>
          <w:kern w:val="0"/>
          <w:lang w:val="en-US"/>
        </w:rPr>
        <w:t>type</w:t>
      </w:r>
      <w:r w:rsidR="000B028B" w:rsidRPr="00332A0C">
        <w:rPr>
          <w:rFonts w:cstheme="minorHAnsi"/>
          <w:kern w:val="0"/>
          <w:lang w:val="en-US"/>
        </w:rPr>
        <w:t xml:space="preserve"> of resources (</w:t>
      </w:r>
      <w:r w:rsidR="000B028B">
        <w:rPr>
          <w:rFonts w:cstheme="minorHAnsi"/>
          <w:kern w:val="0"/>
          <w:lang w:val="en-US"/>
        </w:rPr>
        <w:t>psychosocial</w:t>
      </w:r>
      <w:r w:rsidR="000B028B" w:rsidRPr="00332A0C">
        <w:rPr>
          <w:rFonts w:cstheme="minorHAnsi"/>
          <w:kern w:val="0"/>
          <w:lang w:val="en-US"/>
        </w:rPr>
        <w:t xml:space="preserve"> </w:t>
      </w:r>
      <w:r w:rsidR="000B028B">
        <w:rPr>
          <w:rFonts w:cstheme="minorHAnsi"/>
          <w:kern w:val="0"/>
          <w:lang w:val="en-US"/>
        </w:rPr>
        <w:t xml:space="preserve">job resources </w:t>
      </w:r>
      <w:r w:rsidR="000B028B" w:rsidRPr="00332A0C">
        <w:rPr>
          <w:rFonts w:cstheme="minorHAnsi"/>
          <w:kern w:val="0"/>
          <w:lang w:val="en-US"/>
        </w:rPr>
        <w:t>and family</w:t>
      </w:r>
      <w:r w:rsidR="000B028B">
        <w:rPr>
          <w:rFonts w:cstheme="minorHAnsi"/>
          <w:kern w:val="0"/>
          <w:lang w:val="en-US"/>
        </w:rPr>
        <w:t>-</w:t>
      </w:r>
      <w:r w:rsidR="000B028B" w:rsidRPr="00332A0C">
        <w:rPr>
          <w:rFonts w:cstheme="minorHAnsi"/>
          <w:kern w:val="0"/>
          <w:lang w:val="en-US"/>
        </w:rPr>
        <w:t>work</w:t>
      </w:r>
      <w:r w:rsidR="000B028B">
        <w:rPr>
          <w:rFonts w:cstheme="minorHAnsi"/>
          <w:kern w:val="0"/>
          <w:lang w:val="en-US"/>
        </w:rPr>
        <w:t xml:space="preserve"> </w:t>
      </w:r>
      <w:r w:rsidR="000B028B" w:rsidRPr="00332A0C">
        <w:rPr>
          <w:rFonts w:cstheme="minorHAnsi"/>
          <w:kern w:val="0"/>
          <w:lang w:val="en-US"/>
        </w:rPr>
        <w:t xml:space="preserve">enhancement) </w:t>
      </w:r>
      <w:r w:rsidR="000B028B">
        <w:rPr>
          <w:rFonts w:cstheme="minorHAnsi"/>
          <w:kern w:val="0"/>
          <w:lang w:val="en-US"/>
        </w:rPr>
        <w:t>and</w:t>
      </w:r>
      <w:r w:rsidR="000B028B" w:rsidRPr="00332A0C">
        <w:rPr>
          <w:rFonts w:cstheme="minorHAnsi"/>
          <w:kern w:val="0"/>
          <w:lang w:val="en-US"/>
        </w:rPr>
        <w:t xml:space="preserve"> </w:t>
      </w:r>
      <w:r w:rsidR="000B028B">
        <w:rPr>
          <w:rFonts w:cstheme="minorHAnsi"/>
          <w:kern w:val="0"/>
          <w:lang w:val="en-US"/>
        </w:rPr>
        <w:t xml:space="preserve">what type of </w:t>
      </w:r>
      <w:r w:rsidR="000B028B" w:rsidRPr="00332A0C">
        <w:rPr>
          <w:rFonts w:cstheme="minorHAnsi"/>
          <w:kern w:val="0"/>
          <w:lang w:val="en-US"/>
        </w:rPr>
        <w:t>demands (job</w:t>
      </w:r>
      <w:r w:rsidR="000B028B">
        <w:rPr>
          <w:rFonts w:cstheme="minorHAnsi"/>
          <w:kern w:val="0"/>
          <w:lang w:val="en-US"/>
        </w:rPr>
        <w:t>-</w:t>
      </w:r>
      <w:r w:rsidR="000B028B" w:rsidRPr="00332A0C">
        <w:rPr>
          <w:rFonts w:cstheme="minorHAnsi"/>
          <w:kern w:val="0"/>
          <w:lang w:val="en-US"/>
        </w:rPr>
        <w:t xml:space="preserve">, </w:t>
      </w:r>
      <w:r w:rsidR="000B028B">
        <w:rPr>
          <w:rFonts w:cstheme="minorHAnsi"/>
          <w:kern w:val="0"/>
          <w:lang w:val="en-US"/>
        </w:rPr>
        <w:t xml:space="preserve">and </w:t>
      </w:r>
      <w:r w:rsidR="000B028B" w:rsidRPr="00332A0C">
        <w:rPr>
          <w:rFonts w:cstheme="minorHAnsi"/>
          <w:kern w:val="0"/>
          <w:lang w:val="en-US"/>
        </w:rPr>
        <w:t xml:space="preserve">emotional </w:t>
      </w:r>
      <w:r w:rsidR="000B028B">
        <w:rPr>
          <w:rFonts w:cstheme="minorHAnsi"/>
          <w:kern w:val="0"/>
          <w:lang w:val="en-US"/>
        </w:rPr>
        <w:t xml:space="preserve">demands, </w:t>
      </w:r>
      <w:r w:rsidR="000B028B" w:rsidRPr="00332A0C">
        <w:rPr>
          <w:rFonts w:cstheme="minorHAnsi"/>
          <w:kern w:val="0"/>
          <w:lang w:val="en-US"/>
        </w:rPr>
        <w:t>and family</w:t>
      </w:r>
      <w:r w:rsidR="000B028B">
        <w:rPr>
          <w:rFonts w:cstheme="minorHAnsi"/>
          <w:kern w:val="0"/>
          <w:lang w:val="en-US"/>
        </w:rPr>
        <w:t>-</w:t>
      </w:r>
      <w:r w:rsidR="000B028B" w:rsidRPr="00332A0C">
        <w:rPr>
          <w:rFonts w:cstheme="minorHAnsi"/>
          <w:kern w:val="0"/>
          <w:lang w:val="en-US"/>
        </w:rPr>
        <w:t xml:space="preserve">work conflict) </w:t>
      </w:r>
      <w:r w:rsidR="000B028B">
        <w:rPr>
          <w:rFonts w:cstheme="minorHAnsi"/>
          <w:kern w:val="0"/>
          <w:lang w:val="en-US"/>
        </w:rPr>
        <w:t>is associated with expected</w:t>
      </w:r>
      <w:r w:rsidR="000B028B" w:rsidRPr="00332A0C">
        <w:rPr>
          <w:rFonts w:cstheme="minorHAnsi"/>
          <w:kern w:val="0"/>
          <w:lang w:val="en-US"/>
        </w:rPr>
        <w:t xml:space="preserve"> retirement </w:t>
      </w:r>
      <w:r w:rsidR="000B028B">
        <w:rPr>
          <w:rFonts w:cstheme="minorHAnsi"/>
          <w:kern w:val="0"/>
          <w:lang w:val="en-US"/>
        </w:rPr>
        <w:t>timing (early or late)</w:t>
      </w:r>
      <w:r w:rsidR="000B028B" w:rsidRPr="00332A0C">
        <w:rPr>
          <w:rFonts w:cstheme="minorHAnsi"/>
          <w:kern w:val="0"/>
          <w:lang w:val="en-US"/>
        </w:rPr>
        <w:t>.</w:t>
      </w:r>
    </w:p>
    <w:p w14:paraId="1EDCA44E" w14:textId="77777777" w:rsidR="005D190D" w:rsidRDefault="005D190D" w:rsidP="006E3E2F">
      <w:pPr>
        <w:autoSpaceDE w:val="0"/>
        <w:autoSpaceDN w:val="0"/>
        <w:adjustRightInd w:val="0"/>
        <w:spacing w:after="0" w:line="360" w:lineRule="auto"/>
        <w:ind w:left="567" w:right="953"/>
        <w:rPr>
          <w:rFonts w:cstheme="minorHAnsi"/>
          <w:kern w:val="0"/>
          <w:lang w:val="en-US"/>
        </w:rPr>
      </w:pPr>
    </w:p>
    <w:p w14:paraId="169CBF93" w14:textId="77777777" w:rsidR="00B173A5" w:rsidRDefault="003802B6" w:rsidP="00B173A5">
      <w:pPr>
        <w:autoSpaceDE w:val="0"/>
        <w:autoSpaceDN w:val="0"/>
        <w:adjustRightInd w:val="0"/>
        <w:spacing w:after="0" w:line="360" w:lineRule="auto"/>
        <w:ind w:left="567" w:right="1088"/>
        <w:rPr>
          <w:rFonts w:cstheme="minorHAnsi"/>
          <w:b/>
          <w:bCs/>
          <w:kern w:val="0"/>
          <w:lang w:val="en-US"/>
        </w:rPr>
      </w:pPr>
      <w:r w:rsidRPr="00223E95">
        <w:rPr>
          <w:rFonts w:cstheme="minorHAnsi"/>
          <w:b/>
          <w:bCs/>
          <w:kern w:val="0"/>
          <w:lang w:val="en-US"/>
        </w:rPr>
        <w:t>M</w:t>
      </w:r>
      <w:r w:rsidR="00804F37" w:rsidRPr="00223E95">
        <w:rPr>
          <w:rFonts w:cstheme="minorHAnsi"/>
          <w:b/>
          <w:bCs/>
          <w:kern w:val="0"/>
          <w:lang w:val="en-US"/>
        </w:rPr>
        <w:t>ethod</w:t>
      </w:r>
    </w:p>
    <w:p w14:paraId="3C0616B3" w14:textId="0497F8C6" w:rsidR="00BE244E" w:rsidRDefault="00BE244E" w:rsidP="00BE244E">
      <w:pPr>
        <w:autoSpaceDE w:val="0"/>
        <w:autoSpaceDN w:val="0"/>
        <w:adjustRightInd w:val="0"/>
        <w:spacing w:after="0" w:line="360" w:lineRule="auto"/>
        <w:ind w:left="567" w:right="1088"/>
        <w:rPr>
          <w:sz w:val="20"/>
          <w:szCs w:val="20"/>
          <w:lang w:val="en-US"/>
        </w:rPr>
      </w:pPr>
      <w:r>
        <w:rPr>
          <w:rFonts w:cstheme="minorHAnsi"/>
          <w:kern w:val="0"/>
          <w:lang w:val="en-US"/>
        </w:rPr>
        <w:t xml:space="preserve">This cross-sectional study used a representative sample from the Swedish Longitudinal Occupational Survey of Health (SLOSH) 2018, which is a longitudinal cohort survey of the Swedish working population. More details about the SLOSH survey, e.g. the cohort profile, are to be found in Magnusson Hansson </w:t>
      </w:r>
      <w:r>
        <w:rPr>
          <w:rFonts w:cstheme="minorHAnsi"/>
          <w:kern w:val="0"/>
          <w:lang w:val="en-US"/>
        </w:rPr>
        <w:fldChar w:fldCharType="begin" w:fldLock="1"/>
      </w:r>
      <w:r>
        <w:rPr>
          <w:rFonts w:cstheme="minorHAnsi"/>
          <w:kern w:val="0"/>
          <w:lang w:val="en-US"/>
        </w:rPr>
        <w:instrText>ADDIN CSL_CITATION {"citationItems":[{"id":"ITEM-1","itemData":{"DOI":"10.1093/ije/dyx260","ISSN":"14643685","PMID":"29340637","author":[{"dropping-particle":"","family":"Magnusson Hanson","given":"Linda L.","non-dropping-particle":"","parse-names":false,"suffix":""},{"dropping-particle":"","family":"Leineweber","given":"Constanze","non-dropping-particle":"","parse-names":false,"suffix":""},{"dropping-particle":"","family":"Persson","given":"Viktor","non-dropping-particle":"","parse-names":false,"suffix":""},{"dropping-particle":"","family":"Hyde","given":"Martin","non-dropping-particle":"","parse-names":false,"suffix":""},{"dropping-particle":"","family":"Theorell","given":"Töres","non-dropping-particle":"","parse-names":false,"suffix":""},{"dropping-particle":"","family":"Westerlund","given":"Hugo","non-dropping-particle":"","parse-names":false,"suffix":""}],"container-title":"International Journal of Epidemiology","id":"ITEM-1","issue":"3","issued":{"date-parts":[["2018"]]},"page":"691-692I","title":"Cohort profile: The Swedish longitudinal occupational survey of health (SLOSH)","type":"article-journal","volume":"47"},"suppress-author":1,"uris":["http://www.mendeley.com/documents/?uuid=f7d4e387-229f-4d3e-a5eb-b752f08e8b11"]}],"mendeley":{"formattedCitation":"(2018)","plainTextFormattedCitation":"(2018)","previouslyFormattedCitation":"(2018)"},"properties":{"noteIndex":0},"schema":"https://github.com/citation-style-language/schema/raw/master/csl-citation.json"}</w:instrText>
      </w:r>
      <w:r>
        <w:rPr>
          <w:rFonts w:cstheme="minorHAnsi"/>
          <w:kern w:val="0"/>
          <w:lang w:val="en-US"/>
        </w:rPr>
        <w:fldChar w:fldCharType="separate"/>
      </w:r>
      <w:r w:rsidRPr="005F196F">
        <w:rPr>
          <w:rFonts w:cstheme="minorHAnsi"/>
          <w:noProof/>
          <w:kern w:val="0"/>
          <w:lang w:val="en-US"/>
        </w:rPr>
        <w:t>(2018)</w:t>
      </w:r>
      <w:r>
        <w:rPr>
          <w:rFonts w:cstheme="minorHAnsi"/>
          <w:kern w:val="0"/>
          <w:lang w:val="en-US"/>
        </w:rPr>
        <w:fldChar w:fldCharType="end"/>
      </w:r>
      <w:r>
        <w:rPr>
          <w:rFonts w:cstheme="minorHAnsi"/>
          <w:kern w:val="0"/>
          <w:lang w:val="en-US"/>
        </w:rPr>
        <w:t xml:space="preserve">. The Swedish Ethical Review Authority originally approved the SLOSH-study (ref. no. 2012/272-2/5) and the present study (ref. </w:t>
      </w:r>
      <w:r w:rsidRPr="00663C3D">
        <w:rPr>
          <w:lang w:val="en-US"/>
        </w:rPr>
        <w:t>2023-02693-01</w:t>
      </w:r>
      <w:r>
        <w:rPr>
          <w:sz w:val="20"/>
          <w:szCs w:val="20"/>
          <w:lang w:val="en-US"/>
        </w:rPr>
        <w:t xml:space="preserve">). </w:t>
      </w:r>
    </w:p>
    <w:p w14:paraId="29ECF660" w14:textId="27DA53D7" w:rsidR="005F196F" w:rsidRPr="00A44185" w:rsidRDefault="005F196F" w:rsidP="00A44185">
      <w:pPr>
        <w:autoSpaceDE w:val="0"/>
        <w:autoSpaceDN w:val="0"/>
        <w:adjustRightInd w:val="0"/>
        <w:spacing w:after="0" w:line="360" w:lineRule="auto"/>
        <w:ind w:left="567" w:right="1088"/>
        <w:rPr>
          <w:rFonts w:cstheme="minorHAnsi"/>
          <w:b/>
          <w:bCs/>
          <w:kern w:val="0"/>
          <w:lang w:val="en-US"/>
        </w:rPr>
      </w:pPr>
    </w:p>
    <w:p w14:paraId="29C695B1" w14:textId="77777777" w:rsidR="00BE244E" w:rsidRDefault="00BE244E" w:rsidP="00BE244E">
      <w:pPr>
        <w:autoSpaceDE w:val="0"/>
        <w:autoSpaceDN w:val="0"/>
        <w:adjustRightInd w:val="0"/>
        <w:spacing w:after="0" w:line="360" w:lineRule="auto"/>
        <w:ind w:left="567" w:right="1088"/>
        <w:rPr>
          <w:rFonts w:cstheme="minorHAnsi"/>
          <w:i/>
          <w:iCs/>
          <w:kern w:val="0"/>
          <w:lang w:val="en-US"/>
        </w:rPr>
      </w:pPr>
      <w:r>
        <w:rPr>
          <w:rFonts w:cstheme="minorHAnsi"/>
          <w:i/>
          <w:iCs/>
          <w:kern w:val="0"/>
          <w:lang w:val="en-US"/>
        </w:rPr>
        <w:t>Participants</w:t>
      </w:r>
    </w:p>
    <w:p w14:paraId="42169A59" w14:textId="28449FCC" w:rsidR="00663C3D" w:rsidRPr="00BE244E" w:rsidRDefault="00BE244E" w:rsidP="00BE244E">
      <w:pPr>
        <w:autoSpaceDE w:val="0"/>
        <w:autoSpaceDN w:val="0"/>
        <w:adjustRightInd w:val="0"/>
        <w:spacing w:after="0" w:line="360" w:lineRule="auto"/>
        <w:ind w:left="567" w:right="1088"/>
        <w:rPr>
          <w:rFonts w:cstheme="minorHAnsi"/>
          <w:i/>
          <w:iCs/>
          <w:kern w:val="0"/>
          <w:lang w:val="en-US"/>
        </w:rPr>
      </w:pPr>
      <w:r>
        <w:rPr>
          <w:rFonts w:cstheme="minorHAnsi"/>
          <w:kern w:val="0"/>
          <w:lang w:val="en-US"/>
        </w:rPr>
        <w:t xml:space="preserve">The studied working population is individuals working for at least 30 percent of full-time, excluding individuals temporary or permanent out of work, or fully retired 2018. </w:t>
      </w:r>
      <w:r w:rsidR="00663C3D" w:rsidRPr="00663C3D">
        <w:rPr>
          <w:lang w:val="en-US"/>
        </w:rPr>
        <w:t>The inclusion</w:t>
      </w:r>
      <w:r w:rsidR="00B9600A">
        <w:rPr>
          <w:lang w:val="en-US"/>
        </w:rPr>
        <w:t xml:space="preserve"> </w:t>
      </w:r>
      <w:r w:rsidR="00663C3D" w:rsidRPr="00663C3D">
        <w:rPr>
          <w:lang w:val="en-US"/>
        </w:rPr>
        <w:t xml:space="preserve">criteria for this study were eldercare staff (nursing aid, personal care workers, nurses, and managers) aged </w:t>
      </w:r>
      <w:r w:rsidR="00663C3D" w:rsidRPr="00B9600A">
        <w:rPr>
          <w:lang w:val="en-US"/>
        </w:rPr>
        <w:t>45-</w:t>
      </w:r>
      <w:r w:rsidR="00F1547E">
        <w:rPr>
          <w:lang w:val="en-US"/>
        </w:rPr>
        <w:t>74</w:t>
      </w:r>
      <w:r w:rsidR="00663C3D" w:rsidRPr="00B9600A">
        <w:rPr>
          <w:lang w:val="en-US"/>
        </w:rPr>
        <w:t>.</w:t>
      </w:r>
      <w:r w:rsidR="00663C3D">
        <w:rPr>
          <w:lang w:val="en-US"/>
        </w:rPr>
        <w:t xml:space="preserve"> The final study sample consists of </w:t>
      </w:r>
      <w:r w:rsidR="00F1547E">
        <w:rPr>
          <w:lang w:val="en-US"/>
        </w:rPr>
        <w:t>706</w:t>
      </w:r>
      <w:r w:rsidR="00CC145A">
        <w:rPr>
          <w:lang w:val="en-US"/>
        </w:rPr>
        <w:t xml:space="preserve"> elder care workers</w:t>
      </w:r>
      <w:r w:rsidR="00671B4B">
        <w:rPr>
          <w:lang w:val="en-US"/>
        </w:rPr>
        <w:t>. The study sample is representative of the Swedish elder care staff population in terms of gender</w:t>
      </w:r>
      <w:r w:rsidR="005D2808">
        <w:rPr>
          <w:lang w:val="en-US"/>
        </w:rPr>
        <w:t xml:space="preserve"> and age</w:t>
      </w:r>
      <w:r w:rsidR="00671B4B">
        <w:rPr>
          <w:lang w:val="en-US"/>
        </w:rPr>
        <w:t xml:space="preserve"> ratio.</w:t>
      </w:r>
      <w:r w:rsidR="00F1547E" w:rsidRPr="00F1547E">
        <w:rPr>
          <w:rFonts w:cstheme="minorHAnsi"/>
          <w:kern w:val="0"/>
          <w:lang w:val="en-US"/>
        </w:rPr>
        <w:t xml:space="preserve"> </w:t>
      </w:r>
      <w:r w:rsidR="00F1547E">
        <w:rPr>
          <w:rFonts w:cstheme="minorHAnsi"/>
          <w:kern w:val="0"/>
          <w:lang w:val="en-US"/>
        </w:rPr>
        <w:t xml:space="preserve">This study </w:t>
      </w:r>
      <w:r w:rsidR="00F1547E" w:rsidRPr="00570FFD">
        <w:rPr>
          <w:rFonts w:cstheme="minorHAnsi"/>
          <w:kern w:val="0"/>
          <w:lang w:val="en-US"/>
        </w:rPr>
        <w:lastRenderedPageBreak/>
        <w:t xml:space="preserve">includes </w:t>
      </w:r>
      <w:r w:rsidR="00BE2D80">
        <w:rPr>
          <w:rFonts w:cstheme="minorHAnsi"/>
          <w:kern w:val="0"/>
          <w:lang w:val="en-US"/>
        </w:rPr>
        <w:t xml:space="preserve">individuals working in </w:t>
      </w:r>
      <w:r w:rsidR="00F1547E" w:rsidRPr="00570FFD">
        <w:rPr>
          <w:rFonts w:cstheme="minorHAnsi"/>
          <w:kern w:val="0"/>
          <w:lang w:val="en-US"/>
        </w:rPr>
        <w:t xml:space="preserve">residential </w:t>
      </w:r>
      <w:r w:rsidR="00BE2D80">
        <w:rPr>
          <w:rFonts w:cstheme="minorHAnsi"/>
          <w:kern w:val="0"/>
          <w:lang w:val="en-US"/>
        </w:rPr>
        <w:t>elder</w:t>
      </w:r>
      <w:r w:rsidR="00F1547E">
        <w:rPr>
          <w:rFonts w:cstheme="minorHAnsi"/>
          <w:kern w:val="0"/>
          <w:lang w:val="en-US"/>
        </w:rPr>
        <w:t xml:space="preserve"> </w:t>
      </w:r>
      <w:r w:rsidR="00F1547E" w:rsidRPr="00570FFD">
        <w:rPr>
          <w:rFonts w:cstheme="minorHAnsi"/>
          <w:kern w:val="0"/>
          <w:lang w:val="en-US"/>
        </w:rPr>
        <w:t>care and home</w:t>
      </w:r>
      <w:r w:rsidR="00F1547E">
        <w:rPr>
          <w:rFonts w:cstheme="minorHAnsi"/>
          <w:kern w:val="0"/>
          <w:lang w:val="en-US"/>
        </w:rPr>
        <w:t>-</w:t>
      </w:r>
      <w:r w:rsidR="00F1547E" w:rsidRPr="00570FFD">
        <w:rPr>
          <w:rFonts w:cstheme="minorHAnsi"/>
          <w:kern w:val="0"/>
          <w:lang w:val="en-US"/>
        </w:rPr>
        <w:t xml:space="preserve">based </w:t>
      </w:r>
      <w:r w:rsidR="00F1547E">
        <w:rPr>
          <w:rFonts w:cstheme="minorHAnsi"/>
          <w:kern w:val="0"/>
          <w:lang w:val="en-US"/>
        </w:rPr>
        <w:t xml:space="preserve">elder </w:t>
      </w:r>
      <w:r w:rsidR="00F1547E" w:rsidRPr="00570FFD">
        <w:rPr>
          <w:rFonts w:cstheme="minorHAnsi"/>
          <w:kern w:val="0"/>
          <w:lang w:val="en-US"/>
        </w:rPr>
        <w:t>c</w:t>
      </w:r>
      <w:r w:rsidR="00F1547E">
        <w:rPr>
          <w:rFonts w:cstheme="minorHAnsi"/>
          <w:kern w:val="0"/>
          <w:lang w:val="en-US"/>
        </w:rPr>
        <w:t>are services,</w:t>
      </w:r>
      <w:r w:rsidR="00F1547E" w:rsidRPr="00F1547E">
        <w:rPr>
          <w:lang w:val="en-US"/>
        </w:rPr>
        <w:t xml:space="preserve"> </w:t>
      </w:r>
      <w:r w:rsidR="00F1547E">
        <w:rPr>
          <w:lang w:val="en-US"/>
        </w:rPr>
        <w:t>both private and municipal care providers.</w:t>
      </w:r>
    </w:p>
    <w:p w14:paraId="0637F224" w14:textId="77777777" w:rsidR="00671B4B" w:rsidRDefault="00671B4B" w:rsidP="002A726E">
      <w:pPr>
        <w:autoSpaceDE w:val="0"/>
        <w:autoSpaceDN w:val="0"/>
        <w:adjustRightInd w:val="0"/>
        <w:spacing w:after="0" w:line="360" w:lineRule="auto"/>
        <w:ind w:left="567" w:right="1088"/>
        <w:rPr>
          <w:lang w:val="en-US"/>
        </w:rPr>
      </w:pPr>
    </w:p>
    <w:p w14:paraId="5E1550AB" w14:textId="02F6118D" w:rsidR="00671B4B" w:rsidRDefault="00671B4B" w:rsidP="002A726E">
      <w:pPr>
        <w:autoSpaceDE w:val="0"/>
        <w:autoSpaceDN w:val="0"/>
        <w:adjustRightInd w:val="0"/>
        <w:spacing w:after="0" w:line="360" w:lineRule="auto"/>
        <w:ind w:left="567" w:right="1088"/>
        <w:rPr>
          <w:sz w:val="20"/>
          <w:szCs w:val="20"/>
          <w:lang w:val="en-US"/>
        </w:rPr>
      </w:pPr>
    </w:p>
    <w:p w14:paraId="1E079739" w14:textId="77777777" w:rsidR="00B554B5" w:rsidRDefault="00B554B5" w:rsidP="002A726E">
      <w:pPr>
        <w:autoSpaceDE w:val="0"/>
        <w:autoSpaceDN w:val="0"/>
        <w:adjustRightInd w:val="0"/>
        <w:spacing w:after="0" w:line="360" w:lineRule="auto"/>
        <w:ind w:left="567" w:right="1088"/>
        <w:rPr>
          <w:sz w:val="20"/>
          <w:szCs w:val="20"/>
          <w:lang w:val="en-US"/>
        </w:rPr>
      </w:pPr>
    </w:p>
    <w:tbl>
      <w:tblPr>
        <w:tblStyle w:val="Tabellrutnt"/>
        <w:tblW w:w="9498" w:type="dxa"/>
        <w:tblBorders>
          <w:left w:val="none" w:sz="0" w:space="0" w:color="auto"/>
          <w:right w:val="none" w:sz="0" w:space="0" w:color="auto"/>
        </w:tblBorders>
        <w:tblLayout w:type="fixed"/>
        <w:tblLook w:val="04A0" w:firstRow="1" w:lastRow="0" w:firstColumn="1" w:lastColumn="0" w:noHBand="0" w:noVBand="1"/>
      </w:tblPr>
      <w:tblGrid>
        <w:gridCol w:w="567"/>
        <w:gridCol w:w="6521"/>
        <w:gridCol w:w="2410"/>
      </w:tblGrid>
      <w:tr w:rsidR="00B554B5" w:rsidRPr="005D2808" w14:paraId="459AE77F" w14:textId="77777777" w:rsidTr="005D2808">
        <w:trPr>
          <w:trHeight w:val="53"/>
        </w:trPr>
        <w:tc>
          <w:tcPr>
            <w:tcW w:w="9498" w:type="dxa"/>
            <w:gridSpan w:val="3"/>
            <w:tcBorders>
              <w:top w:val="nil"/>
            </w:tcBorders>
          </w:tcPr>
          <w:p w14:paraId="7E9C19E8" w14:textId="1CC4E834" w:rsidR="00B554B5" w:rsidRPr="00CF1B9F" w:rsidRDefault="00B554B5" w:rsidP="001F087D">
            <w:pPr>
              <w:autoSpaceDE w:val="0"/>
              <w:autoSpaceDN w:val="0"/>
              <w:adjustRightInd w:val="0"/>
              <w:spacing w:line="360" w:lineRule="auto"/>
              <w:ind w:right="1088"/>
              <w:rPr>
                <w:b/>
                <w:bCs/>
                <w:sz w:val="20"/>
                <w:szCs w:val="20"/>
                <w:lang w:val="en-US"/>
              </w:rPr>
            </w:pPr>
            <w:r w:rsidRPr="00CF1B9F">
              <w:rPr>
                <w:b/>
                <w:bCs/>
                <w:sz w:val="20"/>
                <w:szCs w:val="20"/>
                <w:lang w:val="en-US"/>
              </w:rPr>
              <w:t>Table 1</w:t>
            </w:r>
            <w:r w:rsidR="00CF1B9F" w:rsidRPr="00CF1B9F">
              <w:rPr>
                <w:b/>
                <w:bCs/>
                <w:sz w:val="20"/>
                <w:szCs w:val="20"/>
                <w:lang w:val="en-US"/>
              </w:rPr>
              <w:t xml:space="preserve">. </w:t>
            </w:r>
            <w:r w:rsidRPr="00CF1B9F">
              <w:rPr>
                <w:b/>
                <w:bCs/>
                <w:sz w:val="20"/>
                <w:szCs w:val="20"/>
                <w:lang w:val="en-US"/>
              </w:rPr>
              <w:t>Descriptive data of the study sample</w:t>
            </w:r>
            <w:r w:rsidR="009B4645" w:rsidRPr="00CF1B9F">
              <w:rPr>
                <w:b/>
                <w:bCs/>
                <w:sz w:val="20"/>
                <w:szCs w:val="20"/>
                <w:lang w:val="en-US"/>
              </w:rPr>
              <w:t xml:space="preserve"> </w:t>
            </w:r>
          </w:p>
        </w:tc>
      </w:tr>
      <w:tr w:rsidR="00B554B5" w14:paraId="0F07FF0F" w14:textId="77777777" w:rsidTr="005D2808">
        <w:tc>
          <w:tcPr>
            <w:tcW w:w="9498" w:type="dxa"/>
            <w:gridSpan w:val="3"/>
          </w:tcPr>
          <w:p w14:paraId="43AAEB0C" w14:textId="261B6A29" w:rsidR="00B554B5" w:rsidRDefault="00B554B5" w:rsidP="001F087D">
            <w:pPr>
              <w:autoSpaceDE w:val="0"/>
              <w:autoSpaceDN w:val="0"/>
              <w:adjustRightInd w:val="0"/>
              <w:spacing w:line="360" w:lineRule="auto"/>
              <w:ind w:right="1088"/>
              <w:rPr>
                <w:sz w:val="20"/>
                <w:szCs w:val="20"/>
                <w:lang w:val="en-US"/>
              </w:rPr>
            </w:pPr>
            <w:r w:rsidRPr="00B554B5">
              <w:rPr>
                <w:sz w:val="20"/>
                <w:szCs w:val="20"/>
                <w:lang w:val="en-US"/>
              </w:rPr>
              <w:t xml:space="preserve">Study sample </w:t>
            </w:r>
            <w:r w:rsidRPr="00B554B5">
              <w:rPr>
                <w:i/>
                <w:iCs/>
                <w:sz w:val="20"/>
                <w:szCs w:val="20"/>
                <w:lang w:val="en-US"/>
              </w:rPr>
              <w:t>n</w:t>
            </w:r>
            <w:r w:rsidRPr="00B554B5">
              <w:rPr>
                <w:sz w:val="20"/>
                <w:szCs w:val="20"/>
                <w:lang w:val="en-US"/>
              </w:rPr>
              <w:t>=</w:t>
            </w:r>
            <w:r w:rsidR="00CC64CE">
              <w:rPr>
                <w:sz w:val="20"/>
                <w:szCs w:val="20"/>
                <w:lang w:val="en-US"/>
              </w:rPr>
              <w:t xml:space="preserve"> </w:t>
            </w:r>
            <w:r w:rsidR="005C064D">
              <w:rPr>
                <w:sz w:val="20"/>
                <w:szCs w:val="20"/>
                <w:lang w:val="en-US"/>
              </w:rPr>
              <w:t>706</w:t>
            </w:r>
            <w:r w:rsidR="00CF454B">
              <w:rPr>
                <w:sz w:val="20"/>
                <w:szCs w:val="20"/>
                <w:lang w:val="en-US"/>
              </w:rPr>
              <w:t xml:space="preserve">                                                                                                                                 n (%)</w:t>
            </w:r>
          </w:p>
        </w:tc>
      </w:tr>
      <w:tr w:rsidR="00B554B5" w14:paraId="03FC7CF9" w14:textId="77777777" w:rsidTr="005D2808">
        <w:tc>
          <w:tcPr>
            <w:tcW w:w="7088" w:type="dxa"/>
            <w:gridSpan w:val="2"/>
            <w:tcBorders>
              <w:right w:val="nil"/>
            </w:tcBorders>
          </w:tcPr>
          <w:p w14:paraId="40D091CE" w14:textId="7235F789" w:rsidR="00B554B5" w:rsidRDefault="00B554B5" w:rsidP="001F087D">
            <w:pPr>
              <w:autoSpaceDE w:val="0"/>
              <w:autoSpaceDN w:val="0"/>
              <w:adjustRightInd w:val="0"/>
              <w:spacing w:line="360" w:lineRule="auto"/>
              <w:ind w:right="1088"/>
              <w:rPr>
                <w:sz w:val="20"/>
                <w:szCs w:val="20"/>
                <w:lang w:val="en-US"/>
              </w:rPr>
            </w:pPr>
            <w:r w:rsidRPr="00B554B5">
              <w:rPr>
                <w:sz w:val="20"/>
                <w:szCs w:val="20"/>
                <w:lang w:val="en-US"/>
              </w:rPr>
              <w:t xml:space="preserve">Gender </w:t>
            </w:r>
          </w:p>
        </w:tc>
        <w:tc>
          <w:tcPr>
            <w:tcW w:w="2410" w:type="dxa"/>
            <w:tcBorders>
              <w:left w:val="nil"/>
            </w:tcBorders>
          </w:tcPr>
          <w:p w14:paraId="1C765DE3" w14:textId="77777777" w:rsidR="00B554B5" w:rsidRDefault="00B554B5" w:rsidP="001F087D">
            <w:pPr>
              <w:autoSpaceDE w:val="0"/>
              <w:autoSpaceDN w:val="0"/>
              <w:adjustRightInd w:val="0"/>
              <w:spacing w:line="360" w:lineRule="auto"/>
              <w:ind w:left="455" w:right="338" w:firstLine="112"/>
              <w:rPr>
                <w:sz w:val="20"/>
                <w:szCs w:val="20"/>
                <w:lang w:val="en-US"/>
              </w:rPr>
            </w:pPr>
          </w:p>
        </w:tc>
      </w:tr>
      <w:tr w:rsidR="00CC64CE" w14:paraId="12AE6D90" w14:textId="77777777" w:rsidTr="005D2808">
        <w:tc>
          <w:tcPr>
            <w:tcW w:w="567" w:type="dxa"/>
            <w:tcBorders>
              <w:right w:val="nil"/>
            </w:tcBorders>
          </w:tcPr>
          <w:p w14:paraId="423992BD" w14:textId="188ECF81" w:rsidR="00CC64CE" w:rsidRDefault="00CC64CE" w:rsidP="002A726E">
            <w:pPr>
              <w:autoSpaceDE w:val="0"/>
              <w:autoSpaceDN w:val="0"/>
              <w:adjustRightInd w:val="0"/>
              <w:spacing w:line="360" w:lineRule="auto"/>
              <w:ind w:left="567" w:right="1088"/>
              <w:rPr>
                <w:sz w:val="20"/>
                <w:szCs w:val="20"/>
                <w:lang w:val="en-US"/>
              </w:rPr>
            </w:pPr>
          </w:p>
        </w:tc>
        <w:tc>
          <w:tcPr>
            <w:tcW w:w="6521" w:type="dxa"/>
            <w:tcBorders>
              <w:left w:val="nil"/>
              <w:right w:val="nil"/>
            </w:tcBorders>
          </w:tcPr>
          <w:p w14:paraId="08531615" w14:textId="39BB46E1" w:rsidR="00CC64CE" w:rsidRDefault="00CC64CE" w:rsidP="00CC64CE">
            <w:pPr>
              <w:autoSpaceDE w:val="0"/>
              <w:autoSpaceDN w:val="0"/>
              <w:adjustRightInd w:val="0"/>
              <w:spacing w:line="360" w:lineRule="auto"/>
              <w:ind w:right="1088"/>
              <w:rPr>
                <w:sz w:val="20"/>
                <w:szCs w:val="20"/>
                <w:lang w:val="en-US"/>
              </w:rPr>
            </w:pPr>
            <w:r w:rsidRPr="00B554B5">
              <w:rPr>
                <w:sz w:val="20"/>
                <w:szCs w:val="20"/>
                <w:lang w:val="en-US"/>
              </w:rPr>
              <w:t>Women</w:t>
            </w:r>
          </w:p>
        </w:tc>
        <w:tc>
          <w:tcPr>
            <w:tcW w:w="2410" w:type="dxa"/>
            <w:tcBorders>
              <w:left w:val="nil"/>
            </w:tcBorders>
          </w:tcPr>
          <w:p w14:paraId="7682CAE3" w14:textId="7716D2D7" w:rsidR="00CC64CE" w:rsidRDefault="001F087D" w:rsidP="008E3C50">
            <w:pPr>
              <w:autoSpaceDE w:val="0"/>
              <w:autoSpaceDN w:val="0"/>
              <w:adjustRightInd w:val="0"/>
              <w:spacing w:line="360" w:lineRule="auto"/>
              <w:ind w:left="455" w:right="338" w:firstLine="112"/>
              <w:rPr>
                <w:sz w:val="20"/>
                <w:szCs w:val="20"/>
                <w:lang w:val="en-US"/>
              </w:rPr>
            </w:pPr>
            <w:r>
              <w:rPr>
                <w:sz w:val="20"/>
                <w:szCs w:val="20"/>
                <w:lang w:val="en-US"/>
              </w:rPr>
              <w:t xml:space="preserve">654 </w:t>
            </w:r>
            <w:r w:rsidR="008E3C50">
              <w:rPr>
                <w:sz w:val="20"/>
                <w:szCs w:val="20"/>
                <w:lang w:val="en-US"/>
              </w:rPr>
              <w:t>(93)</w:t>
            </w:r>
          </w:p>
        </w:tc>
      </w:tr>
      <w:tr w:rsidR="00CC64CE" w14:paraId="346F117C" w14:textId="77777777" w:rsidTr="005D2808">
        <w:tc>
          <w:tcPr>
            <w:tcW w:w="567" w:type="dxa"/>
            <w:tcBorders>
              <w:right w:val="nil"/>
            </w:tcBorders>
          </w:tcPr>
          <w:p w14:paraId="13C3A8E9" w14:textId="43EA585E" w:rsidR="00CC64CE" w:rsidRDefault="00CC64CE" w:rsidP="002A726E">
            <w:pPr>
              <w:autoSpaceDE w:val="0"/>
              <w:autoSpaceDN w:val="0"/>
              <w:adjustRightInd w:val="0"/>
              <w:spacing w:line="360" w:lineRule="auto"/>
              <w:ind w:left="567" w:right="1088"/>
              <w:rPr>
                <w:sz w:val="20"/>
                <w:szCs w:val="20"/>
                <w:lang w:val="en-US"/>
              </w:rPr>
            </w:pPr>
          </w:p>
        </w:tc>
        <w:tc>
          <w:tcPr>
            <w:tcW w:w="6521" w:type="dxa"/>
            <w:tcBorders>
              <w:left w:val="nil"/>
              <w:right w:val="nil"/>
            </w:tcBorders>
          </w:tcPr>
          <w:p w14:paraId="48ADF3F8" w14:textId="104CDBA1" w:rsidR="00CC64CE" w:rsidRDefault="00CC64CE" w:rsidP="00CC64CE">
            <w:pPr>
              <w:autoSpaceDE w:val="0"/>
              <w:autoSpaceDN w:val="0"/>
              <w:adjustRightInd w:val="0"/>
              <w:spacing w:line="360" w:lineRule="auto"/>
              <w:ind w:right="1088"/>
              <w:rPr>
                <w:sz w:val="20"/>
                <w:szCs w:val="20"/>
                <w:lang w:val="en-US"/>
              </w:rPr>
            </w:pPr>
            <w:r w:rsidRPr="00B554B5">
              <w:rPr>
                <w:sz w:val="20"/>
                <w:szCs w:val="20"/>
                <w:lang w:val="en-US"/>
              </w:rPr>
              <w:t>Men</w:t>
            </w:r>
          </w:p>
        </w:tc>
        <w:tc>
          <w:tcPr>
            <w:tcW w:w="2410" w:type="dxa"/>
            <w:tcBorders>
              <w:left w:val="nil"/>
            </w:tcBorders>
          </w:tcPr>
          <w:p w14:paraId="547555F2" w14:textId="2C034DFB" w:rsidR="00CC64CE" w:rsidRDefault="001F087D" w:rsidP="001F087D">
            <w:pPr>
              <w:autoSpaceDE w:val="0"/>
              <w:autoSpaceDN w:val="0"/>
              <w:adjustRightInd w:val="0"/>
              <w:spacing w:line="360" w:lineRule="auto"/>
              <w:ind w:left="455" w:right="338" w:firstLine="112"/>
              <w:rPr>
                <w:sz w:val="20"/>
                <w:szCs w:val="20"/>
                <w:lang w:val="en-US"/>
              </w:rPr>
            </w:pPr>
            <w:r>
              <w:rPr>
                <w:sz w:val="20"/>
                <w:szCs w:val="20"/>
                <w:lang w:val="en-US"/>
              </w:rPr>
              <w:t>52 (7)</w:t>
            </w:r>
          </w:p>
        </w:tc>
      </w:tr>
      <w:tr w:rsidR="00B554B5" w14:paraId="50F85010" w14:textId="77777777" w:rsidTr="005D2808">
        <w:tc>
          <w:tcPr>
            <w:tcW w:w="7088" w:type="dxa"/>
            <w:gridSpan w:val="2"/>
            <w:tcBorders>
              <w:right w:val="nil"/>
            </w:tcBorders>
          </w:tcPr>
          <w:p w14:paraId="23FEA375" w14:textId="6FC6E8F5" w:rsidR="00B554B5" w:rsidRDefault="00B554B5" w:rsidP="001F087D">
            <w:pPr>
              <w:autoSpaceDE w:val="0"/>
              <w:autoSpaceDN w:val="0"/>
              <w:adjustRightInd w:val="0"/>
              <w:spacing w:line="360" w:lineRule="auto"/>
              <w:ind w:right="1088"/>
              <w:rPr>
                <w:sz w:val="20"/>
                <w:szCs w:val="20"/>
                <w:lang w:val="en-US"/>
              </w:rPr>
            </w:pPr>
            <w:r>
              <w:rPr>
                <w:sz w:val="20"/>
                <w:szCs w:val="20"/>
                <w:lang w:val="en-US"/>
              </w:rPr>
              <w:t xml:space="preserve">Age </w:t>
            </w:r>
          </w:p>
        </w:tc>
        <w:tc>
          <w:tcPr>
            <w:tcW w:w="2410" w:type="dxa"/>
            <w:tcBorders>
              <w:left w:val="nil"/>
            </w:tcBorders>
          </w:tcPr>
          <w:p w14:paraId="7AD17812" w14:textId="77777777" w:rsidR="00B554B5" w:rsidRDefault="00B554B5" w:rsidP="002A726E">
            <w:pPr>
              <w:autoSpaceDE w:val="0"/>
              <w:autoSpaceDN w:val="0"/>
              <w:adjustRightInd w:val="0"/>
              <w:spacing w:line="360" w:lineRule="auto"/>
              <w:ind w:left="567" w:right="1088"/>
              <w:rPr>
                <w:sz w:val="20"/>
                <w:szCs w:val="20"/>
                <w:lang w:val="en-US"/>
              </w:rPr>
            </w:pPr>
          </w:p>
        </w:tc>
      </w:tr>
      <w:tr w:rsidR="005C064D" w14:paraId="2FAC5055" w14:textId="77777777" w:rsidTr="005D2808">
        <w:tc>
          <w:tcPr>
            <w:tcW w:w="567" w:type="dxa"/>
            <w:tcBorders>
              <w:right w:val="nil"/>
            </w:tcBorders>
          </w:tcPr>
          <w:p w14:paraId="6FFA7A72" w14:textId="77777777" w:rsidR="005C064D" w:rsidRDefault="005C064D" w:rsidP="00CC64CE">
            <w:pPr>
              <w:tabs>
                <w:tab w:val="left" w:pos="1425"/>
              </w:tabs>
              <w:autoSpaceDE w:val="0"/>
              <w:autoSpaceDN w:val="0"/>
              <w:adjustRightInd w:val="0"/>
              <w:spacing w:line="360" w:lineRule="auto"/>
              <w:ind w:left="567" w:right="1088"/>
              <w:rPr>
                <w:sz w:val="20"/>
                <w:szCs w:val="20"/>
                <w:lang w:val="en-US"/>
              </w:rPr>
            </w:pPr>
          </w:p>
        </w:tc>
        <w:tc>
          <w:tcPr>
            <w:tcW w:w="6521" w:type="dxa"/>
            <w:tcBorders>
              <w:left w:val="nil"/>
              <w:right w:val="nil"/>
            </w:tcBorders>
          </w:tcPr>
          <w:p w14:paraId="77386763" w14:textId="5F8E8E60" w:rsidR="005C064D" w:rsidRDefault="00EA4F0C" w:rsidP="00CC64CE">
            <w:pPr>
              <w:autoSpaceDE w:val="0"/>
              <w:autoSpaceDN w:val="0"/>
              <w:adjustRightInd w:val="0"/>
              <w:spacing w:line="360" w:lineRule="auto"/>
              <w:ind w:right="1088"/>
              <w:rPr>
                <w:sz w:val="20"/>
                <w:szCs w:val="20"/>
                <w:lang w:val="en-US"/>
              </w:rPr>
            </w:pPr>
            <w:r>
              <w:rPr>
                <w:rFonts w:cstheme="minorHAnsi"/>
                <w:sz w:val="20"/>
                <w:szCs w:val="20"/>
                <w:lang w:val="en-US"/>
              </w:rPr>
              <w:t>≥</w:t>
            </w:r>
            <w:r w:rsidR="005C064D">
              <w:rPr>
                <w:sz w:val="20"/>
                <w:szCs w:val="20"/>
                <w:lang w:val="en-US"/>
              </w:rPr>
              <w:t>45</w:t>
            </w:r>
          </w:p>
        </w:tc>
        <w:tc>
          <w:tcPr>
            <w:tcW w:w="2410" w:type="dxa"/>
            <w:tcBorders>
              <w:left w:val="nil"/>
            </w:tcBorders>
          </w:tcPr>
          <w:p w14:paraId="49E34A75" w14:textId="3BA8E168" w:rsidR="005C064D" w:rsidRDefault="005C064D" w:rsidP="001F087D">
            <w:pPr>
              <w:autoSpaceDE w:val="0"/>
              <w:autoSpaceDN w:val="0"/>
              <w:adjustRightInd w:val="0"/>
              <w:spacing w:line="360" w:lineRule="auto"/>
              <w:ind w:left="455" w:right="338" w:firstLine="112"/>
              <w:rPr>
                <w:sz w:val="20"/>
                <w:szCs w:val="20"/>
                <w:lang w:val="en-US"/>
              </w:rPr>
            </w:pPr>
            <w:r>
              <w:rPr>
                <w:sz w:val="20"/>
                <w:szCs w:val="20"/>
                <w:lang w:val="en-US"/>
              </w:rPr>
              <w:t>84 (12)</w:t>
            </w:r>
          </w:p>
        </w:tc>
      </w:tr>
      <w:tr w:rsidR="00CC64CE" w14:paraId="249542EF" w14:textId="77777777" w:rsidTr="005D2808">
        <w:tc>
          <w:tcPr>
            <w:tcW w:w="567" w:type="dxa"/>
            <w:tcBorders>
              <w:right w:val="nil"/>
            </w:tcBorders>
          </w:tcPr>
          <w:p w14:paraId="6A963693" w14:textId="77777777" w:rsidR="00CC64CE" w:rsidRDefault="00CC64CE" w:rsidP="00CC64CE">
            <w:pPr>
              <w:tabs>
                <w:tab w:val="left" w:pos="1425"/>
              </w:tabs>
              <w:autoSpaceDE w:val="0"/>
              <w:autoSpaceDN w:val="0"/>
              <w:adjustRightInd w:val="0"/>
              <w:spacing w:line="360" w:lineRule="auto"/>
              <w:ind w:left="567" w:right="1088"/>
              <w:rPr>
                <w:sz w:val="20"/>
                <w:szCs w:val="20"/>
                <w:lang w:val="en-US"/>
              </w:rPr>
            </w:pPr>
          </w:p>
        </w:tc>
        <w:tc>
          <w:tcPr>
            <w:tcW w:w="6521" w:type="dxa"/>
            <w:tcBorders>
              <w:left w:val="nil"/>
              <w:right w:val="nil"/>
            </w:tcBorders>
          </w:tcPr>
          <w:p w14:paraId="26637B57" w14:textId="62E5B1BC" w:rsidR="00CC64CE" w:rsidRDefault="005C064D" w:rsidP="00CC64CE">
            <w:pPr>
              <w:autoSpaceDE w:val="0"/>
              <w:autoSpaceDN w:val="0"/>
              <w:adjustRightInd w:val="0"/>
              <w:spacing w:line="360" w:lineRule="auto"/>
              <w:ind w:right="1088"/>
              <w:rPr>
                <w:sz w:val="20"/>
                <w:szCs w:val="20"/>
                <w:lang w:val="en-US"/>
              </w:rPr>
            </w:pPr>
            <w:r>
              <w:rPr>
                <w:sz w:val="20"/>
                <w:szCs w:val="20"/>
                <w:lang w:val="en-US"/>
              </w:rPr>
              <w:t>50-54</w:t>
            </w:r>
          </w:p>
        </w:tc>
        <w:tc>
          <w:tcPr>
            <w:tcW w:w="2410" w:type="dxa"/>
            <w:tcBorders>
              <w:left w:val="nil"/>
            </w:tcBorders>
          </w:tcPr>
          <w:p w14:paraId="517F881B" w14:textId="6D98EE04" w:rsidR="005C064D" w:rsidRDefault="005C064D" w:rsidP="005C064D">
            <w:pPr>
              <w:autoSpaceDE w:val="0"/>
              <w:autoSpaceDN w:val="0"/>
              <w:adjustRightInd w:val="0"/>
              <w:spacing w:line="360" w:lineRule="auto"/>
              <w:ind w:left="455" w:right="-6" w:firstLine="112"/>
              <w:rPr>
                <w:sz w:val="20"/>
                <w:szCs w:val="20"/>
                <w:lang w:val="en-US"/>
              </w:rPr>
            </w:pPr>
            <w:r>
              <w:rPr>
                <w:sz w:val="20"/>
                <w:szCs w:val="20"/>
                <w:lang w:val="en-US"/>
              </w:rPr>
              <w:t>139 (</w:t>
            </w:r>
            <w:r w:rsidR="001F087D">
              <w:rPr>
                <w:sz w:val="20"/>
                <w:szCs w:val="20"/>
                <w:lang w:val="en-US"/>
              </w:rPr>
              <w:t>20)</w:t>
            </w:r>
          </w:p>
        </w:tc>
      </w:tr>
      <w:tr w:rsidR="005C064D" w14:paraId="58A3A931" w14:textId="77777777" w:rsidTr="005D2808">
        <w:tc>
          <w:tcPr>
            <w:tcW w:w="567" w:type="dxa"/>
            <w:tcBorders>
              <w:right w:val="nil"/>
            </w:tcBorders>
          </w:tcPr>
          <w:p w14:paraId="4E1AB35A" w14:textId="77777777" w:rsidR="005C064D" w:rsidRDefault="005C064D" w:rsidP="002A726E">
            <w:pPr>
              <w:autoSpaceDE w:val="0"/>
              <w:autoSpaceDN w:val="0"/>
              <w:adjustRightInd w:val="0"/>
              <w:spacing w:line="360" w:lineRule="auto"/>
              <w:ind w:left="567" w:right="1088"/>
              <w:rPr>
                <w:sz w:val="20"/>
                <w:szCs w:val="20"/>
                <w:lang w:val="en-US"/>
              </w:rPr>
            </w:pPr>
          </w:p>
        </w:tc>
        <w:tc>
          <w:tcPr>
            <w:tcW w:w="6521" w:type="dxa"/>
            <w:tcBorders>
              <w:left w:val="nil"/>
              <w:right w:val="nil"/>
            </w:tcBorders>
          </w:tcPr>
          <w:p w14:paraId="548CB6C6" w14:textId="05D01F9F" w:rsidR="005C064D" w:rsidRDefault="005C064D" w:rsidP="005C064D">
            <w:pPr>
              <w:autoSpaceDE w:val="0"/>
              <w:autoSpaceDN w:val="0"/>
              <w:adjustRightInd w:val="0"/>
              <w:spacing w:line="360" w:lineRule="auto"/>
              <w:ind w:right="1088"/>
              <w:rPr>
                <w:sz w:val="20"/>
                <w:szCs w:val="20"/>
                <w:lang w:val="en-US"/>
              </w:rPr>
            </w:pPr>
            <w:r>
              <w:rPr>
                <w:sz w:val="20"/>
                <w:szCs w:val="20"/>
                <w:lang w:val="en-US"/>
              </w:rPr>
              <w:t>55-59</w:t>
            </w:r>
          </w:p>
        </w:tc>
        <w:tc>
          <w:tcPr>
            <w:tcW w:w="2410" w:type="dxa"/>
            <w:tcBorders>
              <w:left w:val="nil"/>
            </w:tcBorders>
          </w:tcPr>
          <w:p w14:paraId="354CA6B1" w14:textId="25DD9D9A" w:rsidR="005C064D" w:rsidRDefault="005C064D" w:rsidP="005C064D">
            <w:pPr>
              <w:autoSpaceDE w:val="0"/>
              <w:autoSpaceDN w:val="0"/>
              <w:adjustRightInd w:val="0"/>
              <w:spacing w:line="360" w:lineRule="auto"/>
              <w:ind w:left="455" w:right="-6" w:firstLine="112"/>
              <w:rPr>
                <w:sz w:val="20"/>
                <w:szCs w:val="20"/>
                <w:lang w:val="en-US"/>
              </w:rPr>
            </w:pPr>
            <w:r>
              <w:rPr>
                <w:sz w:val="20"/>
                <w:szCs w:val="20"/>
                <w:lang w:val="en-US"/>
              </w:rPr>
              <w:t>215 (</w:t>
            </w:r>
            <w:r w:rsidR="001F087D">
              <w:rPr>
                <w:sz w:val="20"/>
                <w:szCs w:val="20"/>
                <w:lang w:val="en-US"/>
              </w:rPr>
              <w:t>30</w:t>
            </w:r>
            <w:r>
              <w:rPr>
                <w:sz w:val="20"/>
                <w:szCs w:val="20"/>
                <w:lang w:val="en-US"/>
              </w:rPr>
              <w:t>)</w:t>
            </w:r>
          </w:p>
        </w:tc>
      </w:tr>
      <w:tr w:rsidR="005C064D" w14:paraId="76E71C3F" w14:textId="77777777" w:rsidTr="005D2808">
        <w:tc>
          <w:tcPr>
            <w:tcW w:w="567" w:type="dxa"/>
            <w:tcBorders>
              <w:right w:val="nil"/>
            </w:tcBorders>
          </w:tcPr>
          <w:p w14:paraId="7CED5AF4" w14:textId="77777777" w:rsidR="005C064D" w:rsidRDefault="005C064D" w:rsidP="002A726E">
            <w:pPr>
              <w:autoSpaceDE w:val="0"/>
              <w:autoSpaceDN w:val="0"/>
              <w:adjustRightInd w:val="0"/>
              <w:spacing w:line="360" w:lineRule="auto"/>
              <w:ind w:left="567" w:right="1088"/>
              <w:rPr>
                <w:sz w:val="20"/>
                <w:szCs w:val="20"/>
                <w:lang w:val="en-US"/>
              </w:rPr>
            </w:pPr>
          </w:p>
        </w:tc>
        <w:tc>
          <w:tcPr>
            <w:tcW w:w="6521" w:type="dxa"/>
            <w:tcBorders>
              <w:left w:val="nil"/>
              <w:right w:val="nil"/>
            </w:tcBorders>
          </w:tcPr>
          <w:p w14:paraId="4F6B14EC" w14:textId="7D6BE13E" w:rsidR="005C064D" w:rsidRDefault="005C064D" w:rsidP="005C064D">
            <w:pPr>
              <w:autoSpaceDE w:val="0"/>
              <w:autoSpaceDN w:val="0"/>
              <w:adjustRightInd w:val="0"/>
              <w:spacing w:line="360" w:lineRule="auto"/>
              <w:ind w:right="1088"/>
              <w:rPr>
                <w:sz w:val="20"/>
                <w:szCs w:val="20"/>
                <w:lang w:val="en-US"/>
              </w:rPr>
            </w:pPr>
            <w:r>
              <w:rPr>
                <w:sz w:val="20"/>
                <w:szCs w:val="20"/>
                <w:lang w:val="en-US"/>
              </w:rPr>
              <w:t>60-64</w:t>
            </w:r>
          </w:p>
        </w:tc>
        <w:tc>
          <w:tcPr>
            <w:tcW w:w="2410" w:type="dxa"/>
            <w:tcBorders>
              <w:left w:val="nil"/>
            </w:tcBorders>
          </w:tcPr>
          <w:p w14:paraId="5A0E6FE2" w14:textId="6C7BE688" w:rsidR="005C064D" w:rsidRDefault="005C064D" w:rsidP="005C064D">
            <w:pPr>
              <w:autoSpaceDE w:val="0"/>
              <w:autoSpaceDN w:val="0"/>
              <w:adjustRightInd w:val="0"/>
              <w:spacing w:line="360" w:lineRule="auto"/>
              <w:ind w:left="455" w:right="-6" w:firstLine="112"/>
              <w:rPr>
                <w:sz w:val="20"/>
                <w:szCs w:val="20"/>
                <w:lang w:val="en-US"/>
              </w:rPr>
            </w:pPr>
            <w:r>
              <w:rPr>
                <w:sz w:val="20"/>
                <w:szCs w:val="20"/>
                <w:lang w:val="en-US"/>
              </w:rPr>
              <w:t xml:space="preserve">216 </w:t>
            </w:r>
            <w:r w:rsidR="001F087D">
              <w:rPr>
                <w:sz w:val="20"/>
                <w:szCs w:val="20"/>
                <w:lang w:val="en-US"/>
              </w:rPr>
              <w:t>(31)</w:t>
            </w:r>
          </w:p>
        </w:tc>
      </w:tr>
      <w:tr w:rsidR="005C064D" w14:paraId="5C4F6010" w14:textId="77777777" w:rsidTr="005D2808">
        <w:tc>
          <w:tcPr>
            <w:tcW w:w="567" w:type="dxa"/>
            <w:tcBorders>
              <w:right w:val="nil"/>
            </w:tcBorders>
          </w:tcPr>
          <w:p w14:paraId="3703AEAF" w14:textId="77777777" w:rsidR="005C064D" w:rsidRDefault="005C064D" w:rsidP="002A726E">
            <w:pPr>
              <w:autoSpaceDE w:val="0"/>
              <w:autoSpaceDN w:val="0"/>
              <w:adjustRightInd w:val="0"/>
              <w:spacing w:line="360" w:lineRule="auto"/>
              <w:ind w:left="567" w:right="1088"/>
              <w:rPr>
                <w:sz w:val="20"/>
                <w:szCs w:val="20"/>
                <w:lang w:val="en-US"/>
              </w:rPr>
            </w:pPr>
          </w:p>
        </w:tc>
        <w:tc>
          <w:tcPr>
            <w:tcW w:w="6521" w:type="dxa"/>
            <w:tcBorders>
              <w:left w:val="nil"/>
              <w:right w:val="nil"/>
            </w:tcBorders>
          </w:tcPr>
          <w:p w14:paraId="21F2A2D9" w14:textId="45C51A48" w:rsidR="005C064D" w:rsidRDefault="005C064D" w:rsidP="005C064D">
            <w:pPr>
              <w:autoSpaceDE w:val="0"/>
              <w:autoSpaceDN w:val="0"/>
              <w:adjustRightInd w:val="0"/>
              <w:spacing w:line="360" w:lineRule="auto"/>
              <w:ind w:right="1088"/>
              <w:rPr>
                <w:sz w:val="20"/>
                <w:szCs w:val="20"/>
                <w:lang w:val="en-US"/>
              </w:rPr>
            </w:pPr>
            <w:r>
              <w:rPr>
                <w:sz w:val="20"/>
                <w:szCs w:val="20"/>
                <w:lang w:val="en-US"/>
              </w:rPr>
              <w:t>65+</w:t>
            </w:r>
          </w:p>
        </w:tc>
        <w:tc>
          <w:tcPr>
            <w:tcW w:w="2410" w:type="dxa"/>
            <w:tcBorders>
              <w:left w:val="nil"/>
            </w:tcBorders>
          </w:tcPr>
          <w:p w14:paraId="745E2F74" w14:textId="592523A7" w:rsidR="005C064D" w:rsidRDefault="001F087D" w:rsidP="005C064D">
            <w:pPr>
              <w:autoSpaceDE w:val="0"/>
              <w:autoSpaceDN w:val="0"/>
              <w:adjustRightInd w:val="0"/>
              <w:spacing w:line="360" w:lineRule="auto"/>
              <w:ind w:left="455" w:right="-6" w:firstLine="112"/>
              <w:rPr>
                <w:sz w:val="20"/>
                <w:szCs w:val="20"/>
                <w:lang w:val="en-US"/>
              </w:rPr>
            </w:pPr>
            <w:r>
              <w:rPr>
                <w:sz w:val="20"/>
                <w:szCs w:val="20"/>
                <w:lang w:val="en-US"/>
              </w:rPr>
              <w:t>52 (7)</w:t>
            </w:r>
          </w:p>
        </w:tc>
      </w:tr>
      <w:tr w:rsidR="00712AD9" w14:paraId="79B3B29D" w14:textId="77777777" w:rsidTr="005D2808">
        <w:tc>
          <w:tcPr>
            <w:tcW w:w="7088" w:type="dxa"/>
            <w:gridSpan w:val="2"/>
            <w:tcBorders>
              <w:right w:val="nil"/>
            </w:tcBorders>
          </w:tcPr>
          <w:p w14:paraId="75D84583" w14:textId="1645D616" w:rsidR="00712AD9" w:rsidRDefault="00712AD9" w:rsidP="001F087D">
            <w:pPr>
              <w:autoSpaceDE w:val="0"/>
              <w:autoSpaceDN w:val="0"/>
              <w:adjustRightInd w:val="0"/>
              <w:spacing w:line="360" w:lineRule="auto"/>
              <w:ind w:right="1088"/>
              <w:rPr>
                <w:sz w:val="20"/>
                <w:szCs w:val="20"/>
                <w:lang w:val="en-US"/>
              </w:rPr>
            </w:pPr>
            <w:r>
              <w:rPr>
                <w:sz w:val="20"/>
                <w:szCs w:val="20"/>
                <w:lang w:val="en-US"/>
              </w:rPr>
              <w:t>Background</w:t>
            </w:r>
            <w:r w:rsidR="001F087D">
              <w:rPr>
                <w:sz w:val="20"/>
                <w:szCs w:val="20"/>
                <w:lang w:val="en-US"/>
              </w:rPr>
              <w:t xml:space="preserve"> </w:t>
            </w:r>
          </w:p>
        </w:tc>
        <w:tc>
          <w:tcPr>
            <w:tcW w:w="2410" w:type="dxa"/>
            <w:tcBorders>
              <w:left w:val="nil"/>
            </w:tcBorders>
          </w:tcPr>
          <w:p w14:paraId="04EFAC5A" w14:textId="77777777" w:rsidR="00712AD9" w:rsidRDefault="00712AD9" w:rsidP="002A726E">
            <w:pPr>
              <w:autoSpaceDE w:val="0"/>
              <w:autoSpaceDN w:val="0"/>
              <w:adjustRightInd w:val="0"/>
              <w:spacing w:line="360" w:lineRule="auto"/>
              <w:ind w:left="567" w:right="1088"/>
              <w:rPr>
                <w:sz w:val="20"/>
                <w:szCs w:val="20"/>
                <w:lang w:val="en-US"/>
              </w:rPr>
            </w:pPr>
          </w:p>
        </w:tc>
      </w:tr>
      <w:tr w:rsidR="00712AD9" w14:paraId="5B09D7AB" w14:textId="77777777" w:rsidTr="005D2808">
        <w:tc>
          <w:tcPr>
            <w:tcW w:w="7088" w:type="dxa"/>
            <w:gridSpan w:val="2"/>
            <w:tcBorders>
              <w:right w:val="nil"/>
            </w:tcBorders>
          </w:tcPr>
          <w:p w14:paraId="59167C99" w14:textId="4DD7E31E" w:rsidR="00712AD9" w:rsidRDefault="001F087D" w:rsidP="008E3C50">
            <w:pPr>
              <w:autoSpaceDE w:val="0"/>
              <w:autoSpaceDN w:val="0"/>
              <w:adjustRightInd w:val="0"/>
              <w:spacing w:line="360" w:lineRule="auto"/>
              <w:ind w:left="567" w:right="1088"/>
              <w:rPr>
                <w:sz w:val="20"/>
                <w:szCs w:val="20"/>
                <w:lang w:val="en-US"/>
              </w:rPr>
            </w:pPr>
            <w:r>
              <w:rPr>
                <w:sz w:val="20"/>
                <w:szCs w:val="20"/>
                <w:lang w:val="en-US"/>
              </w:rPr>
              <w:t>Born in Sweden</w:t>
            </w:r>
          </w:p>
        </w:tc>
        <w:tc>
          <w:tcPr>
            <w:tcW w:w="2410" w:type="dxa"/>
            <w:tcBorders>
              <w:left w:val="nil"/>
            </w:tcBorders>
          </w:tcPr>
          <w:p w14:paraId="4EB6EF5E" w14:textId="6B073445" w:rsidR="00712AD9" w:rsidRDefault="008E3C50" w:rsidP="008E3C50">
            <w:pPr>
              <w:autoSpaceDE w:val="0"/>
              <w:autoSpaceDN w:val="0"/>
              <w:adjustRightInd w:val="0"/>
              <w:spacing w:line="360" w:lineRule="auto"/>
              <w:ind w:left="455" w:right="-6" w:firstLine="112"/>
              <w:rPr>
                <w:sz w:val="20"/>
                <w:szCs w:val="20"/>
                <w:lang w:val="en-US"/>
              </w:rPr>
            </w:pPr>
            <w:r>
              <w:rPr>
                <w:sz w:val="20"/>
                <w:szCs w:val="20"/>
                <w:lang w:val="en-US"/>
              </w:rPr>
              <w:t>647 (92)</w:t>
            </w:r>
          </w:p>
        </w:tc>
      </w:tr>
      <w:tr w:rsidR="00712AD9" w14:paraId="23CD6768" w14:textId="77777777" w:rsidTr="005D2808">
        <w:tc>
          <w:tcPr>
            <w:tcW w:w="7088" w:type="dxa"/>
            <w:gridSpan w:val="2"/>
            <w:tcBorders>
              <w:right w:val="nil"/>
            </w:tcBorders>
          </w:tcPr>
          <w:p w14:paraId="5E812A81" w14:textId="7DA9F7E5" w:rsidR="00712AD9" w:rsidRDefault="008E3C50" w:rsidP="001F087D">
            <w:pPr>
              <w:tabs>
                <w:tab w:val="left" w:pos="1425"/>
              </w:tabs>
              <w:autoSpaceDE w:val="0"/>
              <w:autoSpaceDN w:val="0"/>
              <w:adjustRightInd w:val="0"/>
              <w:spacing w:line="360" w:lineRule="auto"/>
              <w:ind w:left="567" w:right="1088"/>
              <w:rPr>
                <w:sz w:val="20"/>
                <w:szCs w:val="20"/>
                <w:lang w:val="en-US"/>
              </w:rPr>
            </w:pPr>
            <w:r>
              <w:rPr>
                <w:sz w:val="20"/>
                <w:szCs w:val="20"/>
                <w:lang w:val="en-US"/>
              </w:rPr>
              <w:t>Not born in</w:t>
            </w:r>
            <w:r w:rsidR="001F087D">
              <w:rPr>
                <w:sz w:val="20"/>
                <w:szCs w:val="20"/>
                <w:lang w:val="en-US"/>
              </w:rPr>
              <w:t xml:space="preserve"> Sweden</w:t>
            </w:r>
            <w:r w:rsidR="00712AD9">
              <w:rPr>
                <w:sz w:val="20"/>
                <w:szCs w:val="20"/>
                <w:lang w:val="en-US"/>
              </w:rPr>
              <w:t xml:space="preserve"> </w:t>
            </w:r>
          </w:p>
        </w:tc>
        <w:tc>
          <w:tcPr>
            <w:tcW w:w="2410" w:type="dxa"/>
            <w:tcBorders>
              <w:left w:val="nil"/>
            </w:tcBorders>
          </w:tcPr>
          <w:p w14:paraId="1C487C18" w14:textId="0626837A" w:rsidR="00712AD9" w:rsidRDefault="008E3C50" w:rsidP="008E3C50">
            <w:pPr>
              <w:autoSpaceDE w:val="0"/>
              <w:autoSpaceDN w:val="0"/>
              <w:adjustRightInd w:val="0"/>
              <w:spacing w:line="360" w:lineRule="auto"/>
              <w:ind w:left="455" w:right="-6" w:firstLine="112"/>
              <w:rPr>
                <w:sz w:val="20"/>
                <w:szCs w:val="20"/>
                <w:lang w:val="en-US"/>
              </w:rPr>
            </w:pPr>
            <w:r>
              <w:rPr>
                <w:sz w:val="20"/>
                <w:szCs w:val="20"/>
                <w:lang w:val="en-US"/>
              </w:rPr>
              <w:t>59 (8)</w:t>
            </w:r>
          </w:p>
        </w:tc>
      </w:tr>
      <w:tr w:rsidR="00712AD9" w14:paraId="7E67A3D5" w14:textId="77777777" w:rsidTr="005D2808">
        <w:tc>
          <w:tcPr>
            <w:tcW w:w="7088" w:type="dxa"/>
            <w:gridSpan w:val="2"/>
            <w:tcBorders>
              <w:right w:val="nil"/>
            </w:tcBorders>
          </w:tcPr>
          <w:p w14:paraId="37BAA838" w14:textId="4291C2D9" w:rsidR="00712AD9" w:rsidRDefault="00712AD9" w:rsidP="001F087D">
            <w:pPr>
              <w:autoSpaceDE w:val="0"/>
              <w:autoSpaceDN w:val="0"/>
              <w:adjustRightInd w:val="0"/>
              <w:spacing w:line="360" w:lineRule="auto"/>
              <w:ind w:right="1088"/>
              <w:rPr>
                <w:sz w:val="20"/>
                <w:szCs w:val="20"/>
                <w:lang w:val="en-US"/>
              </w:rPr>
            </w:pPr>
            <w:r>
              <w:rPr>
                <w:sz w:val="20"/>
                <w:szCs w:val="20"/>
                <w:lang w:val="en-US"/>
              </w:rPr>
              <w:t>Education</w:t>
            </w:r>
            <w:r w:rsidR="007407BF">
              <w:rPr>
                <w:sz w:val="20"/>
                <w:szCs w:val="20"/>
                <w:lang w:val="en-US"/>
              </w:rPr>
              <w:t xml:space="preserve"> </w:t>
            </w:r>
          </w:p>
        </w:tc>
        <w:tc>
          <w:tcPr>
            <w:tcW w:w="2410" w:type="dxa"/>
            <w:tcBorders>
              <w:left w:val="nil"/>
            </w:tcBorders>
          </w:tcPr>
          <w:p w14:paraId="0ED437A6" w14:textId="77777777" w:rsidR="00712AD9" w:rsidRDefault="00712AD9" w:rsidP="002A726E">
            <w:pPr>
              <w:autoSpaceDE w:val="0"/>
              <w:autoSpaceDN w:val="0"/>
              <w:adjustRightInd w:val="0"/>
              <w:spacing w:line="360" w:lineRule="auto"/>
              <w:ind w:left="567" w:right="1088"/>
              <w:rPr>
                <w:sz w:val="20"/>
                <w:szCs w:val="20"/>
                <w:lang w:val="en-US"/>
              </w:rPr>
            </w:pPr>
          </w:p>
        </w:tc>
      </w:tr>
      <w:tr w:rsidR="008E3C50" w14:paraId="08F11E17" w14:textId="77777777" w:rsidTr="005D2808">
        <w:tc>
          <w:tcPr>
            <w:tcW w:w="7088" w:type="dxa"/>
            <w:gridSpan w:val="2"/>
            <w:tcBorders>
              <w:right w:val="nil"/>
            </w:tcBorders>
          </w:tcPr>
          <w:p w14:paraId="224B22F2" w14:textId="58D905FD" w:rsidR="008E3C50" w:rsidRDefault="00114FCD" w:rsidP="00114FCD">
            <w:pPr>
              <w:tabs>
                <w:tab w:val="left" w:pos="1425"/>
              </w:tabs>
              <w:autoSpaceDE w:val="0"/>
              <w:autoSpaceDN w:val="0"/>
              <w:adjustRightInd w:val="0"/>
              <w:spacing w:line="360" w:lineRule="auto"/>
              <w:ind w:left="567" w:right="1088"/>
              <w:rPr>
                <w:sz w:val="20"/>
                <w:szCs w:val="20"/>
                <w:lang w:val="en-US"/>
              </w:rPr>
            </w:pPr>
            <w:r>
              <w:rPr>
                <w:sz w:val="20"/>
                <w:szCs w:val="20"/>
                <w:lang w:val="en-US"/>
              </w:rPr>
              <w:t xml:space="preserve">Elementary </w:t>
            </w:r>
            <w:r w:rsidR="007407BF">
              <w:rPr>
                <w:sz w:val="20"/>
                <w:szCs w:val="20"/>
                <w:lang w:val="en-US"/>
              </w:rPr>
              <w:t>school</w:t>
            </w:r>
          </w:p>
        </w:tc>
        <w:tc>
          <w:tcPr>
            <w:tcW w:w="2410" w:type="dxa"/>
            <w:tcBorders>
              <w:left w:val="nil"/>
            </w:tcBorders>
          </w:tcPr>
          <w:p w14:paraId="378874AF" w14:textId="07E4940F" w:rsidR="008E3C50" w:rsidRDefault="007407BF" w:rsidP="007407BF">
            <w:pPr>
              <w:autoSpaceDE w:val="0"/>
              <w:autoSpaceDN w:val="0"/>
              <w:adjustRightInd w:val="0"/>
              <w:spacing w:line="360" w:lineRule="auto"/>
              <w:ind w:left="455" w:right="-6" w:firstLine="112"/>
              <w:rPr>
                <w:sz w:val="20"/>
                <w:szCs w:val="20"/>
                <w:lang w:val="en-US"/>
              </w:rPr>
            </w:pPr>
            <w:r>
              <w:rPr>
                <w:sz w:val="20"/>
                <w:szCs w:val="20"/>
                <w:lang w:val="en-US"/>
              </w:rPr>
              <w:t>16 (2)</w:t>
            </w:r>
          </w:p>
        </w:tc>
      </w:tr>
      <w:tr w:rsidR="008E3C50" w14:paraId="4862980A" w14:textId="77777777" w:rsidTr="005D2808">
        <w:tc>
          <w:tcPr>
            <w:tcW w:w="7088" w:type="dxa"/>
            <w:gridSpan w:val="2"/>
            <w:tcBorders>
              <w:right w:val="nil"/>
            </w:tcBorders>
          </w:tcPr>
          <w:p w14:paraId="0AEAAD2F" w14:textId="1301F74B" w:rsidR="008E3C50" w:rsidRDefault="007407BF" w:rsidP="00114FCD">
            <w:pPr>
              <w:tabs>
                <w:tab w:val="left" w:pos="1425"/>
              </w:tabs>
              <w:autoSpaceDE w:val="0"/>
              <w:autoSpaceDN w:val="0"/>
              <w:adjustRightInd w:val="0"/>
              <w:spacing w:line="360" w:lineRule="auto"/>
              <w:ind w:left="567" w:right="1088"/>
              <w:rPr>
                <w:sz w:val="20"/>
                <w:szCs w:val="20"/>
                <w:lang w:val="en-US"/>
              </w:rPr>
            </w:pPr>
            <w:r>
              <w:rPr>
                <w:sz w:val="20"/>
                <w:szCs w:val="20"/>
                <w:lang w:val="en-US"/>
              </w:rPr>
              <w:t>Secondary school</w:t>
            </w:r>
          </w:p>
        </w:tc>
        <w:tc>
          <w:tcPr>
            <w:tcW w:w="2410" w:type="dxa"/>
            <w:tcBorders>
              <w:left w:val="nil"/>
            </w:tcBorders>
          </w:tcPr>
          <w:p w14:paraId="6802A436" w14:textId="773A4EBB" w:rsidR="008E3C50" w:rsidRDefault="007407BF" w:rsidP="007407BF">
            <w:pPr>
              <w:autoSpaceDE w:val="0"/>
              <w:autoSpaceDN w:val="0"/>
              <w:adjustRightInd w:val="0"/>
              <w:spacing w:line="360" w:lineRule="auto"/>
              <w:ind w:left="455" w:right="-6" w:firstLine="112"/>
              <w:rPr>
                <w:sz w:val="20"/>
                <w:szCs w:val="20"/>
                <w:lang w:val="en-US"/>
              </w:rPr>
            </w:pPr>
            <w:r>
              <w:rPr>
                <w:sz w:val="20"/>
                <w:szCs w:val="20"/>
                <w:lang w:val="en-US"/>
              </w:rPr>
              <w:t>449 (64)</w:t>
            </w:r>
          </w:p>
        </w:tc>
      </w:tr>
      <w:tr w:rsidR="008E3C50" w14:paraId="6A511F3C" w14:textId="77777777" w:rsidTr="005D2808">
        <w:tc>
          <w:tcPr>
            <w:tcW w:w="7088" w:type="dxa"/>
            <w:gridSpan w:val="2"/>
            <w:tcBorders>
              <w:right w:val="nil"/>
            </w:tcBorders>
          </w:tcPr>
          <w:p w14:paraId="03B2A66D" w14:textId="0C0DF32D" w:rsidR="008E3C50" w:rsidRDefault="00EA4F0C" w:rsidP="00114FCD">
            <w:pPr>
              <w:tabs>
                <w:tab w:val="left" w:pos="1425"/>
              </w:tabs>
              <w:autoSpaceDE w:val="0"/>
              <w:autoSpaceDN w:val="0"/>
              <w:adjustRightInd w:val="0"/>
              <w:spacing w:line="360" w:lineRule="auto"/>
              <w:ind w:left="567" w:right="1088"/>
              <w:rPr>
                <w:sz w:val="20"/>
                <w:szCs w:val="20"/>
                <w:lang w:val="en-US"/>
              </w:rPr>
            </w:pPr>
            <w:r>
              <w:rPr>
                <w:sz w:val="20"/>
                <w:szCs w:val="20"/>
                <w:lang w:val="en-US"/>
              </w:rPr>
              <w:t>Tertiary</w:t>
            </w:r>
            <w:r w:rsidR="007407BF">
              <w:rPr>
                <w:sz w:val="20"/>
                <w:szCs w:val="20"/>
                <w:lang w:val="en-US"/>
              </w:rPr>
              <w:t xml:space="preserve"> education</w:t>
            </w:r>
          </w:p>
        </w:tc>
        <w:tc>
          <w:tcPr>
            <w:tcW w:w="2410" w:type="dxa"/>
            <w:tcBorders>
              <w:left w:val="nil"/>
            </w:tcBorders>
          </w:tcPr>
          <w:p w14:paraId="77A75ABE" w14:textId="2ECC8E38" w:rsidR="008E3C50" w:rsidRDefault="007407BF" w:rsidP="007407BF">
            <w:pPr>
              <w:autoSpaceDE w:val="0"/>
              <w:autoSpaceDN w:val="0"/>
              <w:adjustRightInd w:val="0"/>
              <w:spacing w:line="360" w:lineRule="auto"/>
              <w:ind w:left="455" w:right="-6" w:firstLine="112"/>
              <w:rPr>
                <w:sz w:val="20"/>
                <w:szCs w:val="20"/>
                <w:lang w:val="en-US"/>
              </w:rPr>
            </w:pPr>
            <w:r>
              <w:rPr>
                <w:sz w:val="20"/>
                <w:szCs w:val="20"/>
                <w:lang w:val="en-US"/>
              </w:rPr>
              <w:t>25 (3)</w:t>
            </w:r>
          </w:p>
        </w:tc>
      </w:tr>
      <w:tr w:rsidR="008E3C50" w14:paraId="4665C3C3" w14:textId="77777777" w:rsidTr="005D2808">
        <w:tc>
          <w:tcPr>
            <w:tcW w:w="7088" w:type="dxa"/>
            <w:gridSpan w:val="2"/>
            <w:tcBorders>
              <w:right w:val="nil"/>
            </w:tcBorders>
          </w:tcPr>
          <w:p w14:paraId="3FCA3C23" w14:textId="08CE01AD" w:rsidR="008E3C50" w:rsidRDefault="007407BF" w:rsidP="00114FCD">
            <w:pPr>
              <w:tabs>
                <w:tab w:val="left" w:pos="1425"/>
              </w:tabs>
              <w:autoSpaceDE w:val="0"/>
              <w:autoSpaceDN w:val="0"/>
              <w:adjustRightInd w:val="0"/>
              <w:spacing w:line="360" w:lineRule="auto"/>
              <w:ind w:left="567" w:right="1088"/>
              <w:rPr>
                <w:sz w:val="20"/>
                <w:szCs w:val="20"/>
                <w:lang w:val="en-US"/>
              </w:rPr>
            </w:pPr>
            <w:r>
              <w:rPr>
                <w:sz w:val="20"/>
                <w:szCs w:val="20"/>
                <w:lang w:val="en-US"/>
              </w:rPr>
              <w:t>University education</w:t>
            </w:r>
          </w:p>
        </w:tc>
        <w:tc>
          <w:tcPr>
            <w:tcW w:w="2410" w:type="dxa"/>
            <w:tcBorders>
              <w:left w:val="nil"/>
            </w:tcBorders>
          </w:tcPr>
          <w:p w14:paraId="4C71D784" w14:textId="565C1292" w:rsidR="008E3C50" w:rsidRDefault="007407BF" w:rsidP="007407BF">
            <w:pPr>
              <w:autoSpaceDE w:val="0"/>
              <w:autoSpaceDN w:val="0"/>
              <w:adjustRightInd w:val="0"/>
              <w:spacing w:line="360" w:lineRule="auto"/>
              <w:ind w:left="455" w:right="-6" w:firstLine="112"/>
              <w:rPr>
                <w:sz w:val="20"/>
                <w:szCs w:val="20"/>
                <w:lang w:val="en-US"/>
              </w:rPr>
            </w:pPr>
            <w:r>
              <w:rPr>
                <w:sz w:val="20"/>
                <w:szCs w:val="20"/>
                <w:lang w:val="en-US"/>
              </w:rPr>
              <w:t>216 (31)</w:t>
            </w:r>
          </w:p>
        </w:tc>
      </w:tr>
      <w:tr w:rsidR="00712AD9" w:rsidRPr="005D2808" w14:paraId="6EE63A62" w14:textId="77777777" w:rsidTr="005D2808">
        <w:tc>
          <w:tcPr>
            <w:tcW w:w="7088" w:type="dxa"/>
            <w:gridSpan w:val="2"/>
            <w:tcBorders>
              <w:right w:val="nil"/>
            </w:tcBorders>
          </w:tcPr>
          <w:p w14:paraId="7BAD0D2D" w14:textId="0E714769" w:rsidR="00712AD9" w:rsidRDefault="00E27044" w:rsidP="007407BF">
            <w:pPr>
              <w:autoSpaceDE w:val="0"/>
              <w:autoSpaceDN w:val="0"/>
              <w:adjustRightInd w:val="0"/>
              <w:spacing w:line="360" w:lineRule="auto"/>
              <w:ind w:right="1088"/>
              <w:rPr>
                <w:sz w:val="20"/>
                <w:szCs w:val="20"/>
                <w:lang w:val="en-US"/>
              </w:rPr>
            </w:pPr>
            <w:r>
              <w:rPr>
                <w:sz w:val="20"/>
                <w:szCs w:val="20"/>
                <w:lang w:val="en-US"/>
              </w:rPr>
              <w:t>Household i</w:t>
            </w:r>
            <w:r w:rsidR="00712AD9">
              <w:rPr>
                <w:sz w:val="20"/>
                <w:szCs w:val="20"/>
                <w:lang w:val="en-US"/>
              </w:rPr>
              <w:t xml:space="preserve">ncome </w:t>
            </w:r>
            <w:r>
              <w:rPr>
                <w:sz w:val="20"/>
                <w:szCs w:val="20"/>
                <w:lang w:val="en-US"/>
              </w:rPr>
              <w:t xml:space="preserve">in SEK </w:t>
            </w:r>
          </w:p>
        </w:tc>
        <w:tc>
          <w:tcPr>
            <w:tcW w:w="2410" w:type="dxa"/>
            <w:tcBorders>
              <w:left w:val="nil"/>
            </w:tcBorders>
          </w:tcPr>
          <w:p w14:paraId="38DF705C" w14:textId="77777777" w:rsidR="00712AD9" w:rsidRDefault="00712AD9" w:rsidP="002A726E">
            <w:pPr>
              <w:autoSpaceDE w:val="0"/>
              <w:autoSpaceDN w:val="0"/>
              <w:adjustRightInd w:val="0"/>
              <w:spacing w:line="360" w:lineRule="auto"/>
              <w:ind w:left="567" w:right="1088"/>
              <w:rPr>
                <w:sz w:val="20"/>
                <w:szCs w:val="20"/>
                <w:lang w:val="en-US"/>
              </w:rPr>
            </w:pPr>
          </w:p>
        </w:tc>
      </w:tr>
      <w:tr w:rsidR="00E27044" w14:paraId="00D637E9" w14:textId="77777777" w:rsidTr="005D2808">
        <w:tc>
          <w:tcPr>
            <w:tcW w:w="7088" w:type="dxa"/>
            <w:gridSpan w:val="2"/>
            <w:tcBorders>
              <w:right w:val="nil"/>
            </w:tcBorders>
          </w:tcPr>
          <w:p w14:paraId="61EFE602" w14:textId="7C111DB2" w:rsidR="00E27044" w:rsidRDefault="00E27044" w:rsidP="00E27044">
            <w:pPr>
              <w:tabs>
                <w:tab w:val="left" w:pos="1425"/>
              </w:tabs>
              <w:autoSpaceDE w:val="0"/>
              <w:autoSpaceDN w:val="0"/>
              <w:adjustRightInd w:val="0"/>
              <w:spacing w:line="360" w:lineRule="auto"/>
              <w:ind w:left="567" w:right="1088"/>
              <w:rPr>
                <w:sz w:val="20"/>
                <w:szCs w:val="20"/>
                <w:lang w:val="en-US"/>
              </w:rPr>
            </w:pPr>
            <w:r w:rsidRPr="00E27044">
              <w:rPr>
                <w:sz w:val="20"/>
                <w:szCs w:val="20"/>
                <w:lang w:val="en-US"/>
              </w:rPr>
              <w:t>139</w:t>
            </w:r>
            <w:r>
              <w:rPr>
                <w:sz w:val="20"/>
                <w:szCs w:val="20"/>
                <w:lang w:val="en-US"/>
              </w:rPr>
              <w:t xml:space="preserve"> </w:t>
            </w:r>
            <w:r w:rsidRPr="00E27044">
              <w:rPr>
                <w:sz w:val="20"/>
                <w:szCs w:val="20"/>
                <w:lang w:val="en-US"/>
              </w:rPr>
              <w:t>577-376</w:t>
            </w:r>
            <w:r>
              <w:rPr>
                <w:sz w:val="20"/>
                <w:szCs w:val="20"/>
                <w:lang w:val="en-US"/>
              </w:rPr>
              <w:t> </w:t>
            </w:r>
            <w:r w:rsidRPr="00E27044">
              <w:rPr>
                <w:sz w:val="20"/>
                <w:szCs w:val="20"/>
                <w:lang w:val="en-US"/>
              </w:rPr>
              <w:t>812</w:t>
            </w:r>
          </w:p>
        </w:tc>
        <w:tc>
          <w:tcPr>
            <w:tcW w:w="2410" w:type="dxa"/>
            <w:tcBorders>
              <w:left w:val="nil"/>
            </w:tcBorders>
          </w:tcPr>
          <w:p w14:paraId="4B57C2BA" w14:textId="4039C1FE" w:rsidR="00E27044" w:rsidRDefault="00E27044" w:rsidP="00E27044">
            <w:pPr>
              <w:autoSpaceDE w:val="0"/>
              <w:autoSpaceDN w:val="0"/>
              <w:adjustRightInd w:val="0"/>
              <w:spacing w:line="360" w:lineRule="auto"/>
              <w:ind w:left="455" w:right="-6" w:firstLine="112"/>
              <w:rPr>
                <w:sz w:val="20"/>
                <w:szCs w:val="20"/>
                <w:lang w:val="en-US"/>
              </w:rPr>
            </w:pPr>
            <w:r>
              <w:rPr>
                <w:sz w:val="20"/>
                <w:szCs w:val="20"/>
                <w:lang w:val="en-US"/>
              </w:rPr>
              <w:t>154 (22)</w:t>
            </w:r>
          </w:p>
        </w:tc>
      </w:tr>
      <w:tr w:rsidR="00E27044" w14:paraId="0AF99B5B" w14:textId="77777777" w:rsidTr="005D2808">
        <w:tc>
          <w:tcPr>
            <w:tcW w:w="7088" w:type="dxa"/>
            <w:gridSpan w:val="2"/>
            <w:tcBorders>
              <w:right w:val="nil"/>
            </w:tcBorders>
          </w:tcPr>
          <w:p w14:paraId="35B1BA03" w14:textId="48F0A75C" w:rsidR="00E27044" w:rsidRDefault="00E27044" w:rsidP="00E27044">
            <w:pPr>
              <w:tabs>
                <w:tab w:val="left" w:pos="1425"/>
              </w:tabs>
              <w:autoSpaceDE w:val="0"/>
              <w:autoSpaceDN w:val="0"/>
              <w:adjustRightInd w:val="0"/>
              <w:spacing w:line="360" w:lineRule="auto"/>
              <w:ind w:left="567" w:right="1088"/>
              <w:rPr>
                <w:sz w:val="20"/>
                <w:szCs w:val="20"/>
                <w:lang w:val="en-US"/>
              </w:rPr>
            </w:pPr>
            <w:r w:rsidRPr="00E27044">
              <w:rPr>
                <w:sz w:val="20"/>
                <w:szCs w:val="20"/>
                <w:lang w:val="en-US"/>
              </w:rPr>
              <w:t>377</w:t>
            </w:r>
            <w:r>
              <w:rPr>
                <w:sz w:val="20"/>
                <w:szCs w:val="20"/>
                <w:lang w:val="en-US"/>
              </w:rPr>
              <w:t xml:space="preserve"> </w:t>
            </w:r>
            <w:r w:rsidRPr="00E27044">
              <w:rPr>
                <w:sz w:val="20"/>
                <w:szCs w:val="20"/>
                <w:lang w:val="en-US"/>
              </w:rPr>
              <w:t>763-549</w:t>
            </w:r>
            <w:r>
              <w:rPr>
                <w:sz w:val="20"/>
                <w:szCs w:val="20"/>
                <w:lang w:val="en-US"/>
              </w:rPr>
              <w:t> </w:t>
            </w:r>
            <w:r w:rsidRPr="00E27044">
              <w:rPr>
                <w:sz w:val="20"/>
                <w:szCs w:val="20"/>
                <w:lang w:val="en-US"/>
              </w:rPr>
              <w:t>094</w:t>
            </w:r>
            <w:r>
              <w:rPr>
                <w:sz w:val="20"/>
                <w:szCs w:val="20"/>
                <w:lang w:val="en-US"/>
              </w:rPr>
              <w:t xml:space="preserve"> </w:t>
            </w:r>
          </w:p>
        </w:tc>
        <w:tc>
          <w:tcPr>
            <w:tcW w:w="2410" w:type="dxa"/>
            <w:tcBorders>
              <w:left w:val="nil"/>
            </w:tcBorders>
          </w:tcPr>
          <w:p w14:paraId="7E39D050" w14:textId="0E326962" w:rsidR="00E27044" w:rsidRDefault="00E27044" w:rsidP="00E27044">
            <w:pPr>
              <w:autoSpaceDE w:val="0"/>
              <w:autoSpaceDN w:val="0"/>
              <w:adjustRightInd w:val="0"/>
              <w:spacing w:line="360" w:lineRule="auto"/>
              <w:ind w:left="455" w:right="-6" w:firstLine="112"/>
              <w:rPr>
                <w:sz w:val="20"/>
                <w:szCs w:val="20"/>
                <w:lang w:val="en-US"/>
              </w:rPr>
            </w:pPr>
            <w:r>
              <w:rPr>
                <w:sz w:val="20"/>
                <w:szCs w:val="20"/>
                <w:lang w:val="en-US"/>
              </w:rPr>
              <w:t>115 (16)</w:t>
            </w:r>
          </w:p>
        </w:tc>
      </w:tr>
      <w:tr w:rsidR="00E27044" w14:paraId="4413A6BD" w14:textId="77777777" w:rsidTr="005D2808">
        <w:tc>
          <w:tcPr>
            <w:tcW w:w="7088" w:type="dxa"/>
            <w:gridSpan w:val="2"/>
            <w:tcBorders>
              <w:right w:val="nil"/>
            </w:tcBorders>
          </w:tcPr>
          <w:p w14:paraId="7CC76DF0" w14:textId="52209F90" w:rsidR="00E27044" w:rsidRDefault="00E27044" w:rsidP="00E27044">
            <w:pPr>
              <w:tabs>
                <w:tab w:val="left" w:pos="1425"/>
              </w:tabs>
              <w:autoSpaceDE w:val="0"/>
              <w:autoSpaceDN w:val="0"/>
              <w:adjustRightInd w:val="0"/>
              <w:spacing w:line="360" w:lineRule="auto"/>
              <w:ind w:left="567" w:right="1088"/>
              <w:rPr>
                <w:sz w:val="20"/>
                <w:szCs w:val="20"/>
                <w:lang w:val="en-US"/>
              </w:rPr>
            </w:pPr>
            <w:r w:rsidRPr="00E27044">
              <w:rPr>
                <w:sz w:val="20"/>
                <w:szCs w:val="20"/>
                <w:lang w:val="en-US"/>
              </w:rPr>
              <w:t>550</w:t>
            </w:r>
            <w:r>
              <w:rPr>
                <w:sz w:val="20"/>
                <w:szCs w:val="20"/>
                <w:lang w:val="en-US"/>
              </w:rPr>
              <w:t xml:space="preserve"> </w:t>
            </w:r>
            <w:r w:rsidRPr="00E27044">
              <w:rPr>
                <w:sz w:val="20"/>
                <w:szCs w:val="20"/>
                <w:lang w:val="en-US"/>
              </w:rPr>
              <w:t>696-727</w:t>
            </w:r>
            <w:r>
              <w:rPr>
                <w:sz w:val="20"/>
                <w:szCs w:val="20"/>
                <w:lang w:val="en-US"/>
              </w:rPr>
              <w:t xml:space="preserve"> </w:t>
            </w:r>
            <w:r w:rsidRPr="00E27044">
              <w:rPr>
                <w:sz w:val="20"/>
                <w:szCs w:val="20"/>
                <w:lang w:val="en-US"/>
              </w:rPr>
              <w:t>659</w:t>
            </w:r>
          </w:p>
        </w:tc>
        <w:tc>
          <w:tcPr>
            <w:tcW w:w="2410" w:type="dxa"/>
            <w:tcBorders>
              <w:left w:val="nil"/>
            </w:tcBorders>
          </w:tcPr>
          <w:p w14:paraId="09D178CB" w14:textId="1EE81A06" w:rsidR="00E27044" w:rsidRDefault="00E27044" w:rsidP="00E27044">
            <w:pPr>
              <w:autoSpaceDE w:val="0"/>
              <w:autoSpaceDN w:val="0"/>
              <w:adjustRightInd w:val="0"/>
              <w:spacing w:line="360" w:lineRule="auto"/>
              <w:ind w:left="455" w:right="-6" w:firstLine="112"/>
              <w:rPr>
                <w:sz w:val="20"/>
                <w:szCs w:val="20"/>
                <w:lang w:val="en-US"/>
              </w:rPr>
            </w:pPr>
            <w:r>
              <w:rPr>
                <w:sz w:val="20"/>
                <w:szCs w:val="20"/>
                <w:lang w:val="en-US"/>
              </w:rPr>
              <w:t>163 (23)</w:t>
            </w:r>
          </w:p>
        </w:tc>
      </w:tr>
      <w:tr w:rsidR="00E27044" w14:paraId="5107B7E4" w14:textId="77777777" w:rsidTr="005D2808">
        <w:tc>
          <w:tcPr>
            <w:tcW w:w="7088" w:type="dxa"/>
            <w:gridSpan w:val="2"/>
            <w:tcBorders>
              <w:right w:val="nil"/>
            </w:tcBorders>
          </w:tcPr>
          <w:p w14:paraId="62693FC8" w14:textId="7E465E97" w:rsidR="00E27044" w:rsidRDefault="00E27044" w:rsidP="00E27044">
            <w:pPr>
              <w:tabs>
                <w:tab w:val="left" w:pos="1425"/>
              </w:tabs>
              <w:autoSpaceDE w:val="0"/>
              <w:autoSpaceDN w:val="0"/>
              <w:adjustRightInd w:val="0"/>
              <w:spacing w:line="360" w:lineRule="auto"/>
              <w:ind w:left="567" w:right="1088"/>
              <w:rPr>
                <w:sz w:val="20"/>
                <w:szCs w:val="20"/>
                <w:lang w:val="en-US"/>
              </w:rPr>
            </w:pPr>
            <w:r w:rsidRPr="00E27044">
              <w:rPr>
                <w:sz w:val="20"/>
                <w:szCs w:val="20"/>
                <w:lang w:val="en-US"/>
              </w:rPr>
              <w:t>728</w:t>
            </w:r>
            <w:r>
              <w:rPr>
                <w:sz w:val="20"/>
                <w:szCs w:val="20"/>
                <w:lang w:val="en-US"/>
              </w:rPr>
              <w:t xml:space="preserve"> </w:t>
            </w:r>
            <w:r w:rsidRPr="00E27044">
              <w:rPr>
                <w:sz w:val="20"/>
                <w:szCs w:val="20"/>
                <w:lang w:val="en-US"/>
              </w:rPr>
              <w:t>902-944</w:t>
            </w:r>
            <w:r>
              <w:rPr>
                <w:sz w:val="20"/>
                <w:szCs w:val="20"/>
                <w:lang w:val="en-US"/>
              </w:rPr>
              <w:t xml:space="preserve"> </w:t>
            </w:r>
            <w:r w:rsidRPr="00E27044">
              <w:rPr>
                <w:sz w:val="20"/>
                <w:szCs w:val="20"/>
                <w:lang w:val="en-US"/>
              </w:rPr>
              <w:t>085</w:t>
            </w:r>
          </w:p>
        </w:tc>
        <w:tc>
          <w:tcPr>
            <w:tcW w:w="2410" w:type="dxa"/>
            <w:tcBorders>
              <w:left w:val="nil"/>
            </w:tcBorders>
          </w:tcPr>
          <w:p w14:paraId="7AC0C9B9" w14:textId="30F7D407" w:rsidR="00E27044" w:rsidRDefault="00E27044" w:rsidP="00E27044">
            <w:pPr>
              <w:autoSpaceDE w:val="0"/>
              <w:autoSpaceDN w:val="0"/>
              <w:adjustRightInd w:val="0"/>
              <w:spacing w:line="360" w:lineRule="auto"/>
              <w:ind w:left="455" w:right="-6" w:firstLine="112"/>
              <w:rPr>
                <w:sz w:val="20"/>
                <w:szCs w:val="20"/>
                <w:lang w:val="en-US"/>
              </w:rPr>
            </w:pPr>
            <w:r>
              <w:rPr>
                <w:sz w:val="20"/>
                <w:szCs w:val="20"/>
                <w:lang w:val="en-US"/>
              </w:rPr>
              <w:t>141 (20)</w:t>
            </w:r>
          </w:p>
        </w:tc>
      </w:tr>
      <w:tr w:rsidR="00E27044" w14:paraId="22F765E2" w14:textId="77777777" w:rsidTr="005D2808">
        <w:tc>
          <w:tcPr>
            <w:tcW w:w="7088" w:type="dxa"/>
            <w:gridSpan w:val="2"/>
            <w:tcBorders>
              <w:right w:val="nil"/>
            </w:tcBorders>
          </w:tcPr>
          <w:p w14:paraId="43F41C52" w14:textId="63F9048B" w:rsidR="00E27044" w:rsidRDefault="00E27044" w:rsidP="00E27044">
            <w:pPr>
              <w:tabs>
                <w:tab w:val="left" w:pos="1425"/>
              </w:tabs>
              <w:autoSpaceDE w:val="0"/>
              <w:autoSpaceDN w:val="0"/>
              <w:adjustRightInd w:val="0"/>
              <w:spacing w:line="360" w:lineRule="auto"/>
              <w:ind w:left="567" w:right="1088"/>
              <w:rPr>
                <w:sz w:val="20"/>
                <w:szCs w:val="20"/>
                <w:lang w:val="en-US"/>
              </w:rPr>
            </w:pPr>
            <w:r w:rsidRPr="00E27044">
              <w:rPr>
                <w:sz w:val="20"/>
                <w:szCs w:val="20"/>
                <w:lang w:val="en-US"/>
              </w:rPr>
              <w:t>946</w:t>
            </w:r>
            <w:r>
              <w:rPr>
                <w:sz w:val="20"/>
                <w:szCs w:val="20"/>
                <w:lang w:val="en-US"/>
              </w:rPr>
              <w:t xml:space="preserve"> </w:t>
            </w:r>
            <w:r w:rsidRPr="00E27044">
              <w:rPr>
                <w:sz w:val="20"/>
                <w:szCs w:val="20"/>
                <w:lang w:val="en-US"/>
              </w:rPr>
              <w:t>456-300</w:t>
            </w:r>
            <w:r>
              <w:rPr>
                <w:sz w:val="20"/>
                <w:szCs w:val="20"/>
                <w:lang w:val="en-US"/>
              </w:rPr>
              <w:t xml:space="preserve"> </w:t>
            </w:r>
            <w:r w:rsidRPr="00E27044">
              <w:rPr>
                <w:sz w:val="20"/>
                <w:szCs w:val="20"/>
                <w:lang w:val="en-US"/>
              </w:rPr>
              <w:t>7174</w:t>
            </w:r>
          </w:p>
        </w:tc>
        <w:tc>
          <w:tcPr>
            <w:tcW w:w="2410" w:type="dxa"/>
            <w:tcBorders>
              <w:left w:val="nil"/>
            </w:tcBorders>
          </w:tcPr>
          <w:p w14:paraId="06EF3CAD" w14:textId="12E30F5D" w:rsidR="00E27044" w:rsidRDefault="00E27044" w:rsidP="00E27044">
            <w:pPr>
              <w:autoSpaceDE w:val="0"/>
              <w:autoSpaceDN w:val="0"/>
              <w:adjustRightInd w:val="0"/>
              <w:spacing w:line="360" w:lineRule="auto"/>
              <w:ind w:left="455" w:right="-6" w:firstLine="112"/>
              <w:rPr>
                <w:sz w:val="20"/>
                <w:szCs w:val="20"/>
                <w:lang w:val="en-US"/>
              </w:rPr>
            </w:pPr>
            <w:r>
              <w:rPr>
                <w:sz w:val="20"/>
                <w:szCs w:val="20"/>
                <w:lang w:val="en-US"/>
              </w:rPr>
              <w:t>133 (19)</w:t>
            </w:r>
          </w:p>
        </w:tc>
      </w:tr>
      <w:tr w:rsidR="00B554B5" w14:paraId="2EBC337D" w14:textId="77777777" w:rsidTr="005D2808">
        <w:tc>
          <w:tcPr>
            <w:tcW w:w="7088" w:type="dxa"/>
            <w:gridSpan w:val="2"/>
            <w:tcBorders>
              <w:right w:val="nil"/>
            </w:tcBorders>
          </w:tcPr>
          <w:p w14:paraId="612443A9" w14:textId="29ACB4F3" w:rsidR="00B554B5" w:rsidRDefault="00EA6686" w:rsidP="003F7544">
            <w:pPr>
              <w:autoSpaceDE w:val="0"/>
              <w:autoSpaceDN w:val="0"/>
              <w:adjustRightInd w:val="0"/>
              <w:spacing w:line="360" w:lineRule="auto"/>
              <w:ind w:right="1088"/>
              <w:rPr>
                <w:sz w:val="20"/>
                <w:szCs w:val="20"/>
                <w:lang w:val="en-US"/>
              </w:rPr>
            </w:pPr>
            <w:r>
              <w:rPr>
                <w:sz w:val="20"/>
                <w:szCs w:val="20"/>
                <w:lang w:val="en-US"/>
              </w:rPr>
              <w:t>Occupation</w:t>
            </w:r>
            <w:r w:rsidR="00712AD9">
              <w:rPr>
                <w:sz w:val="20"/>
                <w:szCs w:val="20"/>
                <w:lang w:val="en-US"/>
              </w:rPr>
              <w:t xml:space="preserve"> </w:t>
            </w:r>
          </w:p>
        </w:tc>
        <w:tc>
          <w:tcPr>
            <w:tcW w:w="2410" w:type="dxa"/>
            <w:tcBorders>
              <w:left w:val="nil"/>
            </w:tcBorders>
          </w:tcPr>
          <w:p w14:paraId="4744A008" w14:textId="77777777" w:rsidR="00B554B5" w:rsidRDefault="00B554B5" w:rsidP="002A726E">
            <w:pPr>
              <w:autoSpaceDE w:val="0"/>
              <w:autoSpaceDN w:val="0"/>
              <w:adjustRightInd w:val="0"/>
              <w:spacing w:line="360" w:lineRule="auto"/>
              <w:ind w:left="567" w:right="1088"/>
              <w:rPr>
                <w:sz w:val="20"/>
                <w:szCs w:val="20"/>
                <w:lang w:val="en-US"/>
              </w:rPr>
            </w:pPr>
          </w:p>
        </w:tc>
      </w:tr>
      <w:tr w:rsidR="00EA6686" w:rsidRPr="00CC64CE" w14:paraId="15BFEA63" w14:textId="77777777" w:rsidTr="005D2808">
        <w:tc>
          <w:tcPr>
            <w:tcW w:w="7088" w:type="dxa"/>
            <w:gridSpan w:val="2"/>
            <w:tcBorders>
              <w:right w:val="nil"/>
            </w:tcBorders>
          </w:tcPr>
          <w:p w14:paraId="767CE2C3" w14:textId="55F73938" w:rsidR="00EA6686" w:rsidRDefault="00EA6686" w:rsidP="002A726E">
            <w:pPr>
              <w:autoSpaceDE w:val="0"/>
              <w:autoSpaceDN w:val="0"/>
              <w:adjustRightInd w:val="0"/>
              <w:spacing w:line="360" w:lineRule="auto"/>
              <w:ind w:left="567" w:right="1088"/>
              <w:rPr>
                <w:sz w:val="20"/>
                <w:szCs w:val="20"/>
                <w:lang w:val="en-US"/>
              </w:rPr>
            </w:pPr>
            <w:r>
              <w:rPr>
                <w:sz w:val="20"/>
                <w:szCs w:val="20"/>
                <w:lang w:val="en-US"/>
              </w:rPr>
              <w:t>Personal care workers/nurse aid</w:t>
            </w:r>
          </w:p>
        </w:tc>
        <w:tc>
          <w:tcPr>
            <w:tcW w:w="2410" w:type="dxa"/>
            <w:tcBorders>
              <w:left w:val="nil"/>
            </w:tcBorders>
          </w:tcPr>
          <w:p w14:paraId="30144C4D" w14:textId="4D360539" w:rsidR="00EA6686" w:rsidRDefault="003F7544" w:rsidP="003F7544">
            <w:pPr>
              <w:autoSpaceDE w:val="0"/>
              <w:autoSpaceDN w:val="0"/>
              <w:adjustRightInd w:val="0"/>
              <w:spacing w:line="360" w:lineRule="auto"/>
              <w:ind w:left="455" w:right="-6" w:firstLine="112"/>
              <w:rPr>
                <w:sz w:val="20"/>
                <w:szCs w:val="20"/>
                <w:lang w:val="en-US"/>
              </w:rPr>
            </w:pPr>
            <w:r>
              <w:rPr>
                <w:sz w:val="20"/>
                <w:szCs w:val="20"/>
                <w:lang w:val="en-US"/>
              </w:rPr>
              <w:t>505 (72)</w:t>
            </w:r>
          </w:p>
        </w:tc>
      </w:tr>
      <w:tr w:rsidR="00EA6686" w14:paraId="22BE32BB" w14:textId="77777777" w:rsidTr="005D2808">
        <w:tc>
          <w:tcPr>
            <w:tcW w:w="7088" w:type="dxa"/>
            <w:gridSpan w:val="2"/>
            <w:tcBorders>
              <w:right w:val="nil"/>
            </w:tcBorders>
          </w:tcPr>
          <w:p w14:paraId="741D4D9D" w14:textId="03B55F1C" w:rsidR="00EA6686" w:rsidRDefault="00EA6686" w:rsidP="002A726E">
            <w:pPr>
              <w:autoSpaceDE w:val="0"/>
              <w:autoSpaceDN w:val="0"/>
              <w:adjustRightInd w:val="0"/>
              <w:spacing w:line="360" w:lineRule="auto"/>
              <w:ind w:left="567" w:right="1088"/>
              <w:rPr>
                <w:sz w:val="20"/>
                <w:szCs w:val="20"/>
                <w:lang w:val="en-US"/>
              </w:rPr>
            </w:pPr>
            <w:r>
              <w:rPr>
                <w:sz w:val="20"/>
                <w:szCs w:val="20"/>
                <w:lang w:val="en-US"/>
              </w:rPr>
              <w:t>Nurse</w:t>
            </w:r>
            <w:r w:rsidR="00712AD9">
              <w:rPr>
                <w:sz w:val="20"/>
                <w:szCs w:val="20"/>
                <w:lang w:val="en-US"/>
              </w:rPr>
              <w:t>s</w:t>
            </w:r>
          </w:p>
        </w:tc>
        <w:tc>
          <w:tcPr>
            <w:tcW w:w="2410" w:type="dxa"/>
            <w:tcBorders>
              <w:left w:val="nil"/>
            </w:tcBorders>
          </w:tcPr>
          <w:p w14:paraId="23377CDF" w14:textId="4FCF135F" w:rsidR="00EA6686" w:rsidRDefault="003F7544" w:rsidP="003F7544">
            <w:pPr>
              <w:autoSpaceDE w:val="0"/>
              <w:autoSpaceDN w:val="0"/>
              <w:adjustRightInd w:val="0"/>
              <w:spacing w:line="360" w:lineRule="auto"/>
              <w:ind w:left="455" w:right="-6" w:firstLine="112"/>
              <w:rPr>
                <w:sz w:val="20"/>
                <w:szCs w:val="20"/>
                <w:lang w:val="en-US"/>
              </w:rPr>
            </w:pPr>
            <w:r>
              <w:rPr>
                <w:sz w:val="20"/>
                <w:szCs w:val="20"/>
                <w:lang w:val="en-US"/>
              </w:rPr>
              <w:t>71 (10)</w:t>
            </w:r>
          </w:p>
        </w:tc>
      </w:tr>
      <w:tr w:rsidR="00EA6686" w14:paraId="3B603337" w14:textId="77777777" w:rsidTr="005D2808">
        <w:tc>
          <w:tcPr>
            <w:tcW w:w="7088" w:type="dxa"/>
            <w:gridSpan w:val="2"/>
            <w:tcBorders>
              <w:right w:val="nil"/>
            </w:tcBorders>
          </w:tcPr>
          <w:p w14:paraId="2BF620BF" w14:textId="15FF133A" w:rsidR="00EA6686" w:rsidRDefault="00712AD9" w:rsidP="002A726E">
            <w:pPr>
              <w:autoSpaceDE w:val="0"/>
              <w:autoSpaceDN w:val="0"/>
              <w:adjustRightInd w:val="0"/>
              <w:spacing w:line="360" w:lineRule="auto"/>
              <w:ind w:left="567" w:right="1088"/>
              <w:rPr>
                <w:sz w:val="20"/>
                <w:szCs w:val="20"/>
                <w:lang w:val="en-US"/>
              </w:rPr>
            </w:pPr>
            <w:r>
              <w:rPr>
                <w:sz w:val="20"/>
                <w:szCs w:val="20"/>
                <w:lang w:val="en-US"/>
              </w:rPr>
              <w:t>Managers</w:t>
            </w:r>
          </w:p>
        </w:tc>
        <w:tc>
          <w:tcPr>
            <w:tcW w:w="2410" w:type="dxa"/>
            <w:tcBorders>
              <w:left w:val="nil"/>
            </w:tcBorders>
          </w:tcPr>
          <w:p w14:paraId="1C531BDA" w14:textId="6A9106DF" w:rsidR="00EA6686" w:rsidRDefault="003F7544" w:rsidP="003F7544">
            <w:pPr>
              <w:autoSpaceDE w:val="0"/>
              <w:autoSpaceDN w:val="0"/>
              <w:adjustRightInd w:val="0"/>
              <w:spacing w:line="360" w:lineRule="auto"/>
              <w:ind w:left="455" w:right="-6" w:firstLine="112"/>
              <w:rPr>
                <w:sz w:val="20"/>
                <w:szCs w:val="20"/>
                <w:lang w:val="en-US"/>
              </w:rPr>
            </w:pPr>
            <w:r>
              <w:rPr>
                <w:sz w:val="20"/>
                <w:szCs w:val="20"/>
                <w:lang w:val="en-US"/>
              </w:rPr>
              <w:t>130 (18)</w:t>
            </w:r>
          </w:p>
        </w:tc>
      </w:tr>
      <w:tr w:rsidR="00EA6686" w:rsidRPr="005D2808" w14:paraId="09AE4E36" w14:textId="77777777" w:rsidTr="005D2808">
        <w:tc>
          <w:tcPr>
            <w:tcW w:w="7088" w:type="dxa"/>
            <w:gridSpan w:val="2"/>
            <w:tcBorders>
              <w:right w:val="nil"/>
            </w:tcBorders>
          </w:tcPr>
          <w:p w14:paraId="4B8FAF0A" w14:textId="690FCBD3" w:rsidR="00EA6686" w:rsidRDefault="00D02085" w:rsidP="003F7544">
            <w:pPr>
              <w:autoSpaceDE w:val="0"/>
              <w:autoSpaceDN w:val="0"/>
              <w:adjustRightInd w:val="0"/>
              <w:spacing w:line="360" w:lineRule="auto"/>
              <w:ind w:left="37" w:right="1088"/>
              <w:rPr>
                <w:sz w:val="20"/>
                <w:szCs w:val="20"/>
                <w:lang w:val="en-US"/>
              </w:rPr>
            </w:pPr>
            <w:r>
              <w:rPr>
                <w:sz w:val="20"/>
                <w:szCs w:val="20"/>
                <w:lang w:val="en-US"/>
              </w:rPr>
              <w:t xml:space="preserve">Duration employment (in years) </w:t>
            </w:r>
          </w:p>
        </w:tc>
        <w:tc>
          <w:tcPr>
            <w:tcW w:w="2410" w:type="dxa"/>
            <w:tcBorders>
              <w:left w:val="nil"/>
            </w:tcBorders>
          </w:tcPr>
          <w:p w14:paraId="623AED4B" w14:textId="77777777" w:rsidR="00EA6686" w:rsidRDefault="00EA6686" w:rsidP="002A726E">
            <w:pPr>
              <w:autoSpaceDE w:val="0"/>
              <w:autoSpaceDN w:val="0"/>
              <w:adjustRightInd w:val="0"/>
              <w:spacing w:line="360" w:lineRule="auto"/>
              <w:ind w:left="567" w:right="1088"/>
              <w:rPr>
                <w:sz w:val="20"/>
                <w:szCs w:val="20"/>
                <w:lang w:val="en-US"/>
              </w:rPr>
            </w:pPr>
          </w:p>
        </w:tc>
      </w:tr>
      <w:tr w:rsidR="00D02085" w:rsidRPr="00CA752A" w14:paraId="3040402C" w14:textId="77777777" w:rsidTr="005D2808">
        <w:tc>
          <w:tcPr>
            <w:tcW w:w="7088" w:type="dxa"/>
            <w:gridSpan w:val="2"/>
            <w:tcBorders>
              <w:right w:val="nil"/>
            </w:tcBorders>
          </w:tcPr>
          <w:p w14:paraId="7C249E14" w14:textId="39E3F105" w:rsidR="00D02085" w:rsidRDefault="00374C98" w:rsidP="00374C98">
            <w:pPr>
              <w:autoSpaceDE w:val="0"/>
              <w:autoSpaceDN w:val="0"/>
              <w:adjustRightInd w:val="0"/>
              <w:spacing w:line="360" w:lineRule="auto"/>
              <w:ind w:left="604" w:right="1088"/>
              <w:rPr>
                <w:sz w:val="20"/>
                <w:szCs w:val="20"/>
                <w:lang w:val="en-US"/>
              </w:rPr>
            </w:pPr>
            <w:r>
              <w:rPr>
                <w:sz w:val="20"/>
                <w:szCs w:val="20"/>
                <w:lang w:val="en-US"/>
              </w:rPr>
              <w:t>&lt;18 years</w:t>
            </w:r>
          </w:p>
        </w:tc>
        <w:tc>
          <w:tcPr>
            <w:tcW w:w="2410" w:type="dxa"/>
            <w:tcBorders>
              <w:left w:val="nil"/>
            </w:tcBorders>
          </w:tcPr>
          <w:p w14:paraId="23D151EA" w14:textId="6E3EABAC" w:rsidR="00D02085" w:rsidRDefault="00374C98" w:rsidP="00374C98">
            <w:pPr>
              <w:autoSpaceDE w:val="0"/>
              <w:autoSpaceDN w:val="0"/>
              <w:adjustRightInd w:val="0"/>
              <w:spacing w:line="360" w:lineRule="auto"/>
              <w:ind w:left="455" w:right="-6" w:firstLine="112"/>
              <w:rPr>
                <w:sz w:val="20"/>
                <w:szCs w:val="20"/>
                <w:lang w:val="en-US"/>
              </w:rPr>
            </w:pPr>
            <w:r>
              <w:rPr>
                <w:sz w:val="20"/>
                <w:szCs w:val="20"/>
                <w:lang w:val="en-US"/>
              </w:rPr>
              <w:t>52%</w:t>
            </w:r>
          </w:p>
        </w:tc>
      </w:tr>
      <w:tr w:rsidR="00D02085" w:rsidRPr="00CA752A" w14:paraId="39B40E77" w14:textId="77777777" w:rsidTr="005D2808">
        <w:tc>
          <w:tcPr>
            <w:tcW w:w="7088" w:type="dxa"/>
            <w:gridSpan w:val="2"/>
            <w:tcBorders>
              <w:right w:val="nil"/>
            </w:tcBorders>
          </w:tcPr>
          <w:p w14:paraId="0DB87AC5" w14:textId="3A2CE148" w:rsidR="00D02085" w:rsidRDefault="00374C98" w:rsidP="00374C98">
            <w:pPr>
              <w:autoSpaceDE w:val="0"/>
              <w:autoSpaceDN w:val="0"/>
              <w:adjustRightInd w:val="0"/>
              <w:spacing w:line="360" w:lineRule="auto"/>
              <w:ind w:left="604" w:right="1088"/>
              <w:rPr>
                <w:sz w:val="20"/>
                <w:szCs w:val="20"/>
                <w:lang w:val="en-US"/>
              </w:rPr>
            </w:pPr>
            <w:r>
              <w:rPr>
                <w:sz w:val="20"/>
                <w:szCs w:val="20"/>
                <w:lang w:val="en-US"/>
              </w:rPr>
              <w:lastRenderedPageBreak/>
              <w:t>&gt;19 years</w:t>
            </w:r>
          </w:p>
        </w:tc>
        <w:tc>
          <w:tcPr>
            <w:tcW w:w="2410" w:type="dxa"/>
            <w:tcBorders>
              <w:left w:val="nil"/>
            </w:tcBorders>
          </w:tcPr>
          <w:p w14:paraId="794A7D41" w14:textId="218492E4" w:rsidR="00D02085" w:rsidRDefault="00374C98" w:rsidP="00374C98">
            <w:pPr>
              <w:autoSpaceDE w:val="0"/>
              <w:autoSpaceDN w:val="0"/>
              <w:adjustRightInd w:val="0"/>
              <w:spacing w:line="360" w:lineRule="auto"/>
              <w:ind w:left="455" w:right="-6" w:firstLine="112"/>
              <w:rPr>
                <w:sz w:val="20"/>
                <w:szCs w:val="20"/>
                <w:lang w:val="en-US"/>
              </w:rPr>
            </w:pPr>
            <w:r>
              <w:rPr>
                <w:sz w:val="20"/>
                <w:szCs w:val="20"/>
                <w:lang w:val="en-US"/>
              </w:rPr>
              <w:t>48%</w:t>
            </w:r>
          </w:p>
        </w:tc>
      </w:tr>
      <w:tr w:rsidR="00D02085" w:rsidRPr="009848F7" w14:paraId="5984B409" w14:textId="77777777" w:rsidTr="005D2808">
        <w:tc>
          <w:tcPr>
            <w:tcW w:w="7088" w:type="dxa"/>
            <w:gridSpan w:val="2"/>
            <w:tcBorders>
              <w:right w:val="nil"/>
            </w:tcBorders>
          </w:tcPr>
          <w:p w14:paraId="1CA1C3B8" w14:textId="591DAE8B" w:rsidR="00D02085" w:rsidRDefault="00D02085" w:rsidP="00CF454B">
            <w:pPr>
              <w:autoSpaceDE w:val="0"/>
              <w:autoSpaceDN w:val="0"/>
              <w:adjustRightInd w:val="0"/>
              <w:spacing w:line="360" w:lineRule="auto"/>
              <w:ind w:left="37" w:right="1088"/>
              <w:rPr>
                <w:sz w:val="20"/>
                <w:szCs w:val="20"/>
                <w:lang w:val="en-US"/>
              </w:rPr>
            </w:pPr>
            <w:r>
              <w:rPr>
                <w:sz w:val="20"/>
                <w:szCs w:val="20"/>
                <w:lang w:val="en-US"/>
              </w:rPr>
              <w:t xml:space="preserve">Married/cohabitant  </w:t>
            </w:r>
          </w:p>
        </w:tc>
        <w:tc>
          <w:tcPr>
            <w:tcW w:w="2410" w:type="dxa"/>
            <w:tcBorders>
              <w:left w:val="nil"/>
            </w:tcBorders>
          </w:tcPr>
          <w:p w14:paraId="04DE26D7" w14:textId="77777777" w:rsidR="00D02085" w:rsidRDefault="00D02085" w:rsidP="002A726E">
            <w:pPr>
              <w:autoSpaceDE w:val="0"/>
              <w:autoSpaceDN w:val="0"/>
              <w:adjustRightInd w:val="0"/>
              <w:spacing w:line="360" w:lineRule="auto"/>
              <w:ind w:left="567" w:right="1088"/>
              <w:rPr>
                <w:sz w:val="20"/>
                <w:szCs w:val="20"/>
                <w:lang w:val="en-US"/>
              </w:rPr>
            </w:pPr>
          </w:p>
        </w:tc>
      </w:tr>
      <w:tr w:rsidR="00712AD9" w14:paraId="65991259" w14:textId="77777777" w:rsidTr="005D2808">
        <w:tc>
          <w:tcPr>
            <w:tcW w:w="7088" w:type="dxa"/>
            <w:gridSpan w:val="2"/>
            <w:tcBorders>
              <w:right w:val="nil"/>
            </w:tcBorders>
          </w:tcPr>
          <w:p w14:paraId="7C9C277D" w14:textId="28D9FFCC" w:rsidR="00712AD9" w:rsidRDefault="00CA752A" w:rsidP="002A726E">
            <w:pPr>
              <w:autoSpaceDE w:val="0"/>
              <w:autoSpaceDN w:val="0"/>
              <w:adjustRightInd w:val="0"/>
              <w:spacing w:line="360" w:lineRule="auto"/>
              <w:ind w:left="567" w:right="1088"/>
              <w:rPr>
                <w:sz w:val="20"/>
                <w:szCs w:val="20"/>
                <w:lang w:val="en-US"/>
              </w:rPr>
            </w:pPr>
            <w:r>
              <w:rPr>
                <w:sz w:val="20"/>
                <w:szCs w:val="20"/>
                <w:lang w:val="en-US"/>
              </w:rPr>
              <w:t>Yes</w:t>
            </w:r>
          </w:p>
        </w:tc>
        <w:tc>
          <w:tcPr>
            <w:tcW w:w="2410" w:type="dxa"/>
            <w:tcBorders>
              <w:left w:val="nil"/>
            </w:tcBorders>
          </w:tcPr>
          <w:p w14:paraId="0DA3F274" w14:textId="3AB27768" w:rsidR="00712AD9" w:rsidRDefault="00CA752A" w:rsidP="00CA752A">
            <w:pPr>
              <w:autoSpaceDE w:val="0"/>
              <w:autoSpaceDN w:val="0"/>
              <w:adjustRightInd w:val="0"/>
              <w:spacing w:line="360" w:lineRule="auto"/>
              <w:ind w:left="455" w:right="-6" w:firstLine="112"/>
              <w:rPr>
                <w:sz w:val="20"/>
                <w:szCs w:val="20"/>
                <w:lang w:val="en-US"/>
              </w:rPr>
            </w:pPr>
            <w:r>
              <w:rPr>
                <w:sz w:val="20"/>
                <w:szCs w:val="20"/>
                <w:lang w:val="en-US"/>
              </w:rPr>
              <w:t>543 (77)</w:t>
            </w:r>
          </w:p>
        </w:tc>
      </w:tr>
      <w:tr w:rsidR="00712AD9" w14:paraId="213B365C" w14:textId="77777777" w:rsidTr="005D2808">
        <w:tc>
          <w:tcPr>
            <w:tcW w:w="7088" w:type="dxa"/>
            <w:gridSpan w:val="2"/>
            <w:tcBorders>
              <w:right w:val="nil"/>
            </w:tcBorders>
          </w:tcPr>
          <w:p w14:paraId="4A4E138B" w14:textId="625BF4C0" w:rsidR="00712AD9" w:rsidRDefault="00CA752A" w:rsidP="002A726E">
            <w:pPr>
              <w:autoSpaceDE w:val="0"/>
              <w:autoSpaceDN w:val="0"/>
              <w:adjustRightInd w:val="0"/>
              <w:spacing w:line="360" w:lineRule="auto"/>
              <w:ind w:left="567" w:right="1088"/>
              <w:rPr>
                <w:sz w:val="20"/>
                <w:szCs w:val="20"/>
                <w:lang w:val="en-US"/>
              </w:rPr>
            </w:pPr>
            <w:r>
              <w:rPr>
                <w:sz w:val="20"/>
                <w:szCs w:val="20"/>
                <w:lang w:val="en-US"/>
              </w:rPr>
              <w:t>No</w:t>
            </w:r>
          </w:p>
        </w:tc>
        <w:tc>
          <w:tcPr>
            <w:tcW w:w="2410" w:type="dxa"/>
            <w:tcBorders>
              <w:left w:val="nil"/>
            </w:tcBorders>
          </w:tcPr>
          <w:p w14:paraId="3050A79E" w14:textId="1364DE58" w:rsidR="00712AD9" w:rsidRDefault="00CA752A" w:rsidP="00CA752A">
            <w:pPr>
              <w:autoSpaceDE w:val="0"/>
              <w:autoSpaceDN w:val="0"/>
              <w:adjustRightInd w:val="0"/>
              <w:spacing w:line="360" w:lineRule="auto"/>
              <w:ind w:left="455" w:right="-6" w:firstLine="112"/>
              <w:rPr>
                <w:sz w:val="20"/>
                <w:szCs w:val="20"/>
                <w:lang w:val="en-US"/>
              </w:rPr>
            </w:pPr>
            <w:r>
              <w:rPr>
                <w:sz w:val="20"/>
                <w:szCs w:val="20"/>
                <w:lang w:val="en-US"/>
              </w:rPr>
              <w:t>160 (23)</w:t>
            </w:r>
          </w:p>
        </w:tc>
      </w:tr>
      <w:tr w:rsidR="00712AD9" w:rsidRPr="009848F7" w14:paraId="56F9F8E3" w14:textId="77777777" w:rsidTr="005D2808">
        <w:tc>
          <w:tcPr>
            <w:tcW w:w="7088" w:type="dxa"/>
            <w:gridSpan w:val="2"/>
            <w:tcBorders>
              <w:right w:val="nil"/>
            </w:tcBorders>
          </w:tcPr>
          <w:p w14:paraId="299DFC61" w14:textId="12A44D45" w:rsidR="00712AD9" w:rsidRDefault="00712AD9" w:rsidP="00CF454B">
            <w:pPr>
              <w:autoSpaceDE w:val="0"/>
              <w:autoSpaceDN w:val="0"/>
              <w:adjustRightInd w:val="0"/>
              <w:spacing w:line="360" w:lineRule="auto"/>
              <w:ind w:right="1088"/>
              <w:rPr>
                <w:sz w:val="20"/>
                <w:szCs w:val="20"/>
                <w:lang w:val="en-US"/>
              </w:rPr>
            </w:pPr>
            <w:r>
              <w:rPr>
                <w:sz w:val="20"/>
                <w:szCs w:val="20"/>
                <w:lang w:val="en-US"/>
              </w:rPr>
              <w:t xml:space="preserve">Spouse </w:t>
            </w:r>
            <w:r w:rsidR="00D02085">
              <w:rPr>
                <w:sz w:val="20"/>
                <w:szCs w:val="20"/>
                <w:lang w:val="en-US"/>
              </w:rPr>
              <w:t>working</w:t>
            </w:r>
            <w:r w:rsidR="00CA752A">
              <w:rPr>
                <w:sz w:val="20"/>
                <w:szCs w:val="20"/>
                <w:lang w:val="en-US"/>
              </w:rPr>
              <w:t xml:space="preserve">  </w:t>
            </w:r>
          </w:p>
        </w:tc>
        <w:tc>
          <w:tcPr>
            <w:tcW w:w="2410" w:type="dxa"/>
            <w:tcBorders>
              <w:left w:val="nil"/>
            </w:tcBorders>
          </w:tcPr>
          <w:p w14:paraId="2CE7E2F1" w14:textId="77777777" w:rsidR="00712AD9" w:rsidRDefault="00712AD9" w:rsidP="002A726E">
            <w:pPr>
              <w:autoSpaceDE w:val="0"/>
              <w:autoSpaceDN w:val="0"/>
              <w:adjustRightInd w:val="0"/>
              <w:spacing w:line="360" w:lineRule="auto"/>
              <w:ind w:left="567" w:right="1088"/>
              <w:rPr>
                <w:sz w:val="20"/>
                <w:szCs w:val="20"/>
                <w:lang w:val="en-US"/>
              </w:rPr>
            </w:pPr>
          </w:p>
        </w:tc>
      </w:tr>
      <w:tr w:rsidR="00CA752A" w:rsidRPr="00CA752A" w14:paraId="4F659E2D" w14:textId="77777777" w:rsidTr="005D2808">
        <w:tc>
          <w:tcPr>
            <w:tcW w:w="7088" w:type="dxa"/>
            <w:gridSpan w:val="2"/>
            <w:tcBorders>
              <w:right w:val="nil"/>
            </w:tcBorders>
          </w:tcPr>
          <w:p w14:paraId="448E25CD" w14:textId="78AE937F" w:rsidR="00CA752A" w:rsidRDefault="00D02085" w:rsidP="00D02085">
            <w:pPr>
              <w:autoSpaceDE w:val="0"/>
              <w:autoSpaceDN w:val="0"/>
              <w:adjustRightInd w:val="0"/>
              <w:spacing w:line="360" w:lineRule="auto"/>
              <w:ind w:left="604" w:right="1088"/>
              <w:rPr>
                <w:sz w:val="20"/>
                <w:szCs w:val="20"/>
                <w:lang w:val="en-US"/>
              </w:rPr>
            </w:pPr>
            <w:r>
              <w:rPr>
                <w:sz w:val="20"/>
                <w:szCs w:val="20"/>
                <w:lang w:val="en-US"/>
              </w:rPr>
              <w:t>Yes</w:t>
            </w:r>
          </w:p>
        </w:tc>
        <w:tc>
          <w:tcPr>
            <w:tcW w:w="2410" w:type="dxa"/>
            <w:tcBorders>
              <w:left w:val="nil"/>
            </w:tcBorders>
          </w:tcPr>
          <w:p w14:paraId="1C4CF527" w14:textId="5E535AAA" w:rsidR="00CA752A" w:rsidRDefault="00D02085" w:rsidP="00D02085">
            <w:pPr>
              <w:autoSpaceDE w:val="0"/>
              <w:autoSpaceDN w:val="0"/>
              <w:adjustRightInd w:val="0"/>
              <w:spacing w:line="360" w:lineRule="auto"/>
              <w:ind w:left="455" w:right="-6" w:firstLine="112"/>
              <w:rPr>
                <w:sz w:val="20"/>
                <w:szCs w:val="20"/>
                <w:lang w:val="en-US"/>
              </w:rPr>
            </w:pPr>
            <w:r>
              <w:rPr>
                <w:sz w:val="20"/>
                <w:szCs w:val="20"/>
                <w:lang w:val="en-US"/>
              </w:rPr>
              <w:t>426 (60)</w:t>
            </w:r>
          </w:p>
        </w:tc>
      </w:tr>
      <w:tr w:rsidR="00CA752A" w:rsidRPr="00CA752A" w14:paraId="1C477DDE" w14:textId="77777777" w:rsidTr="005D2808">
        <w:tc>
          <w:tcPr>
            <w:tcW w:w="7088" w:type="dxa"/>
            <w:gridSpan w:val="2"/>
            <w:tcBorders>
              <w:right w:val="nil"/>
            </w:tcBorders>
          </w:tcPr>
          <w:p w14:paraId="64CA3245" w14:textId="1F637607" w:rsidR="00CA752A" w:rsidRDefault="00D02085" w:rsidP="00D02085">
            <w:pPr>
              <w:autoSpaceDE w:val="0"/>
              <w:autoSpaceDN w:val="0"/>
              <w:adjustRightInd w:val="0"/>
              <w:spacing w:line="360" w:lineRule="auto"/>
              <w:ind w:left="604" w:right="1088"/>
              <w:rPr>
                <w:sz w:val="20"/>
                <w:szCs w:val="20"/>
                <w:lang w:val="en-US"/>
              </w:rPr>
            </w:pPr>
            <w:r>
              <w:rPr>
                <w:sz w:val="20"/>
                <w:szCs w:val="20"/>
                <w:lang w:val="en-US"/>
              </w:rPr>
              <w:t>No</w:t>
            </w:r>
          </w:p>
        </w:tc>
        <w:tc>
          <w:tcPr>
            <w:tcW w:w="2410" w:type="dxa"/>
            <w:tcBorders>
              <w:left w:val="nil"/>
            </w:tcBorders>
          </w:tcPr>
          <w:p w14:paraId="3BF760C0" w14:textId="3EE7520F" w:rsidR="00CA752A" w:rsidRDefault="00D02085" w:rsidP="00D02085">
            <w:pPr>
              <w:autoSpaceDE w:val="0"/>
              <w:autoSpaceDN w:val="0"/>
              <w:adjustRightInd w:val="0"/>
              <w:spacing w:line="360" w:lineRule="auto"/>
              <w:ind w:left="455" w:right="-6" w:firstLine="112"/>
              <w:rPr>
                <w:sz w:val="20"/>
                <w:szCs w:val="20"/>
                <w:lang w:val="en-US"/>
              </w:rPr>
            </w:pPr>
            <w:r>
              <w:rPr>
                <w:sz w:val="20"/>
                <w:szCs w:val="20"/>
                <w:lang w:val="en-US"/>
              </w:rPr>
              <w:t>119 (17)</w:t>
            </w:r>
          </w:p>
        </w:tc>
      </w:tr>
      <w:tr w:rsidR="00712AD9" w:rsidRPr="005D2808" w14:paraId="5A49F223" w14:textId="77777777" w:rsidTr="005D2808">
        <w:tc>
          <w:tcPr>
            <w:tcW w:w="7088" w:type="dxa"/>
            <w:gridSpan w:val="2"/>
            <w:tcBorders>
              <w:right w:val="nil"/>
            </w:tcBorders>
          </w:tcPr>
          <w:p w14:paraId="78158225" w14:textId="00FBE9BA" w:rsidR="00712AD9" w:rsidRDefault="00D02085" w:rsidP="00CF454B">
            <w:pPr>
              <w:autoSpaceDE w:val="0"/>
              <w:autoSpaceDN w:val="0"/>
              <w:adjustRightInd w:val="0"/>
              <w:spacing w:line="360" w:lineRule="auto"/>
              <w:ind w:right="1088"/>
              <w:rPr>
                <w:sz w:val="20"/>
                <w:szCs w:val="20"/>
                <w:lang w:val="en-US"/>
              </w:rPr>
            </w:pPr>
            <w:r>
              <w:rPr>
                <w:sz w:val="20"/>
                <w:szCs w:val="20"/>
                <w:lang w:val="en-US"/>
              </w:rPr>
              <w:t xml:space="preserve">Children living at home  </w:t>
            </w:r>
          </w:p>
        </w:tc>
        <w:tc>
          <w:tcPr>
            <w:tcW w:w="2410" w:type="dxa"/>
            <w:tcBorders>
              <w:left w:val="nil"/>
            </w:tcBorders>
          </w:tcPr>
          <w:p w14:paraId="6C2ECBB6" w14:textId="77777777" w:rsidR="00712AD9" w:rsidRDefault="00712AD9" w:rsidP="002A726E">
            <w:pPr>
              <w:autoSpaceDE w:val="0"/>
              <w:autoSpaceDN w:val="0"/>
              <w:adjustRightInd w:val="0"/>
              <w:spacing w:line="360" w:lineRule="auto"/>
              <w:ind w:left="567" w:right="1088"/>
              <w:rPr>
                <w:sz w:val="20"/>
                <w:szCs w:val="20"/>
                <w:lang w:val="en-US"/>
              </w:rPr>
            </w:pPr>
          </w:p>
        </w:tc>
      </w:tr>
      <w:tr w:rsidR="00D02085" w:rsidRPr="00D02085" w14:paraId="2F9F03EA" w14:textId="77777777" w:rsidTr="005D2808">
        <w:tc>
          <w:tcPr>
            <w:tcW w:w="7088" w:type="dxa"/>
            <w:gridSpan w:val="2"/>
            <w:tcBorders>
              <w:right w:val="nil"/>
            </w:tcBorders>
          </w:tcPr>
          <w:p w14:paraId="3BF3B951" w14:textId="7E1FECCC" w:rsidR="00D02085" w:rsidRDefault="00D02085" w:rsidP="00D02085">
            <w:pPr>
              <w:autoSpaceDE w:val="0"/>
              <w:autoSpaceDN w:val="0"/>
              <w:adjustRightInd w:val="0"/>
              <w:spacing w:line="360" w:lineRule="auto"/>
              <w:ind w:left="604" w:right="1088"/>
              <w:rPr>
                <w:sz w:val="20"/>
                <w:szCs w:val="20"/>
                <w:lang w:val="en-US"/>
              </w:rPr>
            </w:pPr>
            <w:r>
              <w:rPr>
                <w:sz w:val="20"/>
                <w:szCs w:val="20"/>
                <w:lang w:val="en-US"/>
              </w:rPr>
              <w:t>Yes</w:t>
            </w:r>
          </w:p>
        </w:tc>
        <w:tc>
          <w:tcPr>
            <w:tcW w:w="2410" w:type="dxa"/>
            <w:tcBorders>
              <w:left w:val="nil"/>
            </w:tcBorders>
          </w:tcPr>
          <w:p w14:paraId="101924A2" w14:textId="739E2BB8" w:rsidR="00D02085" w:rsidRDefault="00D02085" w:rsidP="00D02085">
            <w:pPr>
              <w:autoSpaceDE w:val="0"/>
              <w:autoSpaceDN w:val="0"/>
              <w:adjustRightInd w:val="0"/>
              <w:spacing w:line="360" w:lineRule="auto"/>
              <w:ind w:left="455" w:right="-6" w:firstLine="112"/>
              <w:rPr>
                <w:sz w:val="20"/>
                <w:szCs w:val="20"/>
                <w:lang w:val="en-US"/>
              </w:rPr>
            </w:pPr>
            <w:r>
              <w:rPr>
                <w:sz w:val="20"/>
                <w:szCs w:val="20"/>
                <w:lang w:val="en-US"/>
              </w:rPr>
              <w:t>181 (26)</w:t>
            </w:r>
          </w:p>
        </w:tc>
      </w:tr>
      <w:tr w:rsidR="00D02085" w:rsidRPr="00D02085" w14:paraId="07260D27" w14:textId="77777777" w:rsidTr="005D2808">
        <w:tc>
          <w:tcPr>
            <w:tcW w:w="7088" w:type="dxa"/>
            <w:gridSpan w:val="2"/>
            <w:tcBorders>
              <w:right w:val="nil"/>
            </w:tcBorders>
          </w:tcPr>
          <w:p w14:paraId="7C46970E" w14:textId="48154990" w:rsidR="00D02085" w:rsidRDefault="00D02085" w:rsidP="00D02085">
            <w:pPr>
              <w:autoSpaceDE w:val="0"/>
              <w:autoSpaceDN w:val="0"/>
              <w:adjustRightInd w:val="0"/>
              <w:spacing w:line="360" w:lineRule="auto"/>
              <w:ind w:left="604" w:right="1088"/>
              <w:rPr>
                <w:sz w:val="20"/>
                <w:szCs w:val="20"/>
                <w:lang w:val="en-US"/>
              </w:rPr>
            </w:pPr>
            <w:r>
              <w:rPr>
                <w:sz w:val="20"/>
                <w:szCs w:val="20"/>
                <w:lang w:val="en-US"/>
              </w:rPr>
              <w:t>No</w:t>
            </w:r>
          </w:p>
        </w:tc>
        <w:tc>
          <w:tcPr>
            <w:tcW w:w="2410" w:type="dxa"/>
            <w:tcBorders>
              <w:left w:val="nil"/>
            </w:tcBorders>
          </w:tcPr>
          <w:p w14:paraId="3B1DF3FD" w14:textId="621F8EE0" w:rsidR="00D02085" w:rsidRDefault="00D02085" w:rsidP="00D02085">
            <w:pPr>
              <w:autoSpaceDE w:val="0"/>
              <w:autoSpaceDN w:val="0"/>
              <w:adjustRightInd w:val="0"/>
              <w:spacing w:line="360" w:lineRule="auto"/>
              <w:ind w:left="455" w:right="-6" w:firstLine="112"/>
              <w:rPr>
                <w:sz w:val="20"/>
                <w:szCs w:val="20"/>
                <w:lang w:val="en-US"/>
              </w:rPr>
            </w:pPr>
            <w:r>
              <w:rPr>
                <w:sz w:val="20"/>
                <w:szCs w:val="20"/>
                <w:lang w:val="en-US"/>
              </w:rPr>
              <w:t>509 (72)</w:t>
            </w:r>
          </w:p>
        </w:tc>
      </w:tr>
      <w:tr w:rsidR="00712AD9" w:rsidRPr="009848F7" w14:paraId="52C60200" w14:textId="77777777" w:rsidTr="005D2808">
        <w:tc>
          <w:tcPr>
            <w:tcW w:w="7088" w:type="dxa"/>
            <w:gridSpan w:val="2"/>
            <w:tcBorders>
              <w:right w:val="nil"/>
            </w:tcBorders>
          </w:tcPr>
          <w:p w14:paraId="67F54A9E" w14:textId="72E7DD24" w:rsidR="00712AD9" w:rsidRDefault="00712AD9" w:rsidP="00CF454B">
            <w:pPr>
              <w:autoSpaceDE w:val="0"/>
              <w:autoSpaceDN w:val="0"/>
              <w:adjustRightInd w:val="0"/>
              <w:spacing w:line="360" w:lineRule="auto"/>
              <w:ind w:right="1088"/>
              <w:rPr>
                <w:sz w:val="20"/>
                <w:szCs w:val="20"/>
                <w:lang w:val="en-US"/>
              </w:rPr>
            </w:pPr>
            <w:r>
              <w:rPr>
                <w:sz w:val="20"/>
                <w:szCs w:val="20"/>
                <w:lang w:val="en-US"/>
              </w:rPr>
              <w:t xml:space="preserve">Caring responsibilities </w:t>
            </w:r>
            <w:r w:rsidR="00D02085">
              <w:rPr>
                <w:sz w:val="20"/>
                <w:szCs w:val="20"/>
                <w:lang w:val="en-US"/>
              </w:rPr>
              <w:t xml:space="preserve"> </w:t>
            </w:r>
          </w:p>
        </w:tc>
        <w:tc>
          <w:tcPr>
            <w:tcW w:w="2410" w:type="dxa"/>
            <w:tcBorders>
              <w:left w:val="nil"/>
            </w:tcBorders>
          </w:tcPr>
          <w:p w14:paraId="483C77A0" w14:textId="77777777" w:rsidR="00712AD9" w:rsidRDefault="00712AD9" w:rsidP="002A726E">
            <w:pPr>
              <w:autoSpaceDE w:val="0"/>
              <w:autoSpaceDN w:val="0"/>
              <w:adjustRightInd w:val="0"/>
              <w:spacing w:line="360" w:lineRule="auto"/>
              <w:ind w:left="567" w:right="1088"/>
              <w:rPr>
                <w:sz w:val="20"/>
                <w:szCs w:val="20"/>
                <w:lang w:val="en-US"/>
              </w:rPr>
            </w:pPr>
          </w:p>
        </w:tc>
      </w:tr>
      <w:tr w:rsidR="00D02085" w:rsidRPr="00D02085" w14:paraId="2C221EA4" w14:textId="77777777" w:rsidTr="005D2808">
        <w:tc>
          <w:tcPr>
            <w:tcW w:w="7088" w:type="dxa"/>
            <w:gridSpan w:val="2"/>
            <w:tcBorders>
              <w:right w:val="nil"/>
            </w:tcBorders>
          </w:tcPr>
          <w:p w14:paraId="2BF34791" w14:textId="5F0FFC62" w:rsidR="00D02085" w:rsidRDefault="005452FE" w:rsidP="00D02085">
            <w:pPr>
              <w:autoSpaceDE w:val="0"/>
              <w:autoSpaceDN w:val="0"/>
              <w:adjustRightInd w:val="0"/>
              <w:spacing w:line="360" w:lineRule="auto"/>
              <w:ind w:left="604" w:right="1088"/>
              <w:rPr>
                <w:sz w:val="20"/>
                <w:szCs w:val="20"/>
                <w:lang w:val="en-US"/>
              </w:rPr>
            </w:pPr>
            <w:r>
              <w:rPr>
                <w:sz w:val="20"/>
                <w:szCs w:val="20"/>
                <w:lang w:val="en-US"/>
              </w:rPr>
              <w:t>1-2 hours</w:t>
            </w:r>
          </w:p>
        </w:tc>
        <w:tc>
          <w:tcPr>
            <w:tcW w:w="2410" w:type="dxa"/>
            <w:tcBorders>
              <w:left w:val="nil"/>
            </w:tcBorders>
          </w:tcPr>
          <w:p w14:paraId="2F0D4BCF" w14:textId="61CA4BF8" w:rsidR="00D02085" w:rsidRDefault="005452FE" w:rsidP="005D2808">
            <w:pPr>
              <w:autoSpaceDE w:val="0"/>
              <w:autoSpaceDN w:val="0"/>
              <w:adjustRightInd w:val="0"/>
              <w:spacing w:line="360" w:lineRule="auto"/>
              <w:ind w:left="455" w:right="-6" w:firstLine="112"/>
              <w:rPr>
                <w:sz w:val="20"/>
                <w:szCs w:val="20"/>
                <w:lang w:val="en-US"/>
              </w:rPr>
            </w:pPr>
            <w:r>
              <w:rPr>
                <w:sz w:val="20"/>
                <w:szCs w:val="20"/>
                <w:lang w:val="en-US"/>
              </w:rPr>
              <w:t>675 (97)</w:t>
            </w:r>
          </w:p>
        </w:tc>
      </w:tr>
      <w:tr w:rsidR="00D02085" w:rsidRPr="00D02085" w14:paraId="633C26F7" w14:textId="77777777" w:rsidTr="005D2808">
        <w:tc>
          <w:tcPr>
            <w:tcW w:w="7088" w:type="dxa"/>
            <w:gridSpan w:val="2"/>
            <w:tcBorders>
              <w:right w:val="nil"/>
            </w:tcBorders>
          </w:tcPr>
          <w:p w14:paraId="1F681876" w14:textId="1B8C81AF" w:rsidR="00D02085" w:rsidRDefault="005452FE" w:rsidP="00D02085">
            <w:pPr>
              <w:autoSpaceDE w:val="0"/>
              <w:autoSpaceDN w:val="0"/>
              <w:adjustRightInd w:val="0"/>
              <w:spacing w:line="360" w:lineRule="auto"/>
              <w:ind w:left="604" w:right="1088"/>
              <w:rPr>
                <w:sz w:val="20"/>
                <w:szCs w:val="20"/>
                <w:lang w:val="en-US"/>
              </w:rPr>
            </w:pPr>
            <w:r>
              <w:rPr>
                <w:sz w:val="20"/>
                <w:szCs w:val="20"/>
                <w:lang w:val="en-US"/>
              </w:rPr>
              <w:t>3 or more hours</w:t>
            </w:r>
          </w:p>
        </w:tc>
        <w:tc>
          <w:tcPr>
            <w:tcW w:w="2410" w:type="dxa"/>
            <w:tcBorders>
              <w:left w:val="nil"/>
            </w:tcBorders>
          </w:tcPr>
          <w:p w14:paraId="777F21AF" w14:textId="70C6958C" w:rsidR="00D02085" w:rsidRDefault="005452FE" w:rsidP="002A726E">
            <w:pPr>
              <w:autoSpaceDE w:val="0"/>
              <w:autoSpaceDN w:val="0"/>
              <w:adjustRightInd w:val="0"/>
              <w:spacing w:line="360" w:lineRule="auto"/>
              <w:ind w:left="567" w:right="1088"/>
              <w:rPr>
                <w:sz w:val="20"/>
                <w:szCs w:val="20"/>
                <w:lang w:val="en-US"/>
              </w:rPr>
            </w:pPr>
            <w:r>
              <w:rPr>
                <w:sz w:val="20"/>
                <w:szCs w:val="20"/>
                <w:lang w:val="en-US"/>
              </w:rPr>
              <w:t>19 (3)</w:t>
            </w:r>
          </w:p>
        </w:tc>
      </w:tr>
    </w:tbl>
    <w:p w14:paraId="6C9BDB17" w14:textId="77777777" w:rsidR="002B0A0B" w:rsidRPr="002B0A0B" w:rsidRDefault="002B0A0B" w:rsidP="002B0A0B">
      <w:pPr>
        <w:autoSpaceDE w:val="0"/>
        <w:autoSpaceDN w:val="0"/>
        <w:adjustRightInd w:val="0"/>
        <w:spacing w:after="0" w:line="400" w:lineRule="atLeast"/>
        <w:rPr>
          <w:rFonts w:ascii="Times New Roman" w:hAnsi="Times New Roman" w:cs="Times New Roman"/>
          <w:kern w:val="0"/>
          <w:sz w:val="24"/>
          <w:szCs w:val="24"/>
        </w:rPr>
      </w:pPr>
    </w:p>
    <w:p w14:paraId="16E5F08B" w14:textId="6DE41C2E" w:rsidR="002B0A0B" w:rsidRDefault="002B0A0B" w:rsidP="002B0A0B">
      <w:pPr>
        <w:autoSpaceDE w:val="0"/>
        <w:autoSpaceDN w:val="0"/>
        <w:adjustRightInd w:val="0"/>
        <w:spacing w:after="0" w:line="360" w:lineRule="auto"/>
        <w:ind w:right="1088"/>
        <w:rPr>
          <w:sz w:val="20"/>
          <w:szCs w:val="20"/>
          <w:lang w:val="en-US"/>
        </w:rPr>
      </w:pPr>
    </w:p>
    <w:p w14:paraId="3E994C51" w14:textId="77777777" w:rsidR="002B0A0B" w:rsidRPr="00B554B5" w:rsidRDefault="002B0A0B" w:rsidP="002A726E">
      <w:pPr>
        <w:autoSpaceDE w:val="0"/>
        <w:autoSpaceDN w:val="0"/>
        <w:adjustRightInd w:val="0"/>
        <w:spacing w:after="0" w:line="360" w:lineRule="auto"/>
        <w:ind w:left="567" w:right="1088"/>
        <w:rPr>
          <w:sz w:val="20"/>
          <w:szCs w:val="20"/>
          <w:lang w:val="en-US"/>
        </w:rPr>
      </w:pPr>
    </w:p>
    <w:p w14:paraId="55CA6824" w14:textId="77777777" w:rsidR="00347BB2" w:rsidRPr="00420C45" w:rsidRDefault="00347BB2" w:rsidP="002A726E">
      <w:pPr>
        <w:autoSpaceDE w:val="0"/>
        <w:autoSpaceDN w:val="0"/>
        <w:adjustRightInd w:val="0"/>
        <w:spacing w:after="0" w:line="360" w:lineRule="auto"/>
        <w:ind w:left="567" w:right="1088"/>
        <w:rPr>
          <w:rFonts w:cstheme="minorHAnsi"/>
          <w:b/>
          <w:bCs/>
          <w:kern w:val="0"/>
          <w:lang w:val="en-US"/>
        </w:rPr>
      </w:pPr>
      <w:r w:rsidRPr="00420C45">
        <w:rPr>
          <w:rFonts w:cstheme="minorHAnsi"/>
          <w:b/>
          <w:bCs/>
          <w:kern w:val="0"/>
          <w:lang w:val="en-US"/>
        </w:rPr>
        <w:t>Measures</w:t>
      </w:r>
    </w:p>
    <w:p w14:paraId="425F2AFD" w14:textId="77777777" w:rsidR="00420C45" w:rsidRDefault="00420C45" w:rsidP="002A726E">
      <w:pPr>
        <w:autoSpaceDE w:val="0"/>
        <w:autoSpaceDN w:val="0"/>
        <w:adjustRightInd w:val="0"/>
        <w:spacing w:after="0" w:line="360" w:lineRule="auto"/>
        <w:ind w:left="567" w:right="1088"/>
        <w:rPr>
          <w:rFonts w:cstheme="minorHAnsi"/>
          <w:i/>
          <w:iCs/>
          <w:kern w:val="0"/>
          <w:lang w:val="en-US"/>
        </w:rPr>
      </w:pPr>
      <w:r w:rsidRPr="00EA6686">
        <w:rPr>
          <w:rFonts w:cstheme="minorHAnsi"/>
          <w:i/>
          <w:iCs/>
          <w:kern w:val="0"/>
          <w:lang w:val="en-US"/>
        </w:rPr>
        <w:t>Dependent variable</w:t>
      </w:r>
    </w:p>
    <w:p w14:paraId="510A0A10" w14:textId="5EA9E325" w:rsidR="00347BB2" w:rsidRPr="00223E95" w:rsidRDefault="00420C45" w:rsidP="002A726E">
      <w:pPr>
        <w:autoSpaceDE w:val="0"/>
        <w:autoSpaceDN w:val="0"/>
        <w:adjustRightInd w:val="0"/>
        <w:spacing w:after="0" w:line="360" w:lineRule="auto"/>
        <w:ind w:left="567" w:right="1088"/>
        <w:rPr>
          <w:rFonts w:cstheme="minorHAnsi"/>
          <w:kern w:val="0"/>
          <w:lang w:val="en-US"/>
        </w:rPr>
      </w:pPr>
      <w:r>
        <w:rPr>
          <w:rFonts w:cstheme="minorHAnsi"/>
          <w:kern w:val="0"/>
          <w:lang w:val="en-US"/>
        </w:rPr>
        <w:t xml:space="preserve">We used one single item to measure </w:t>
      </w:r>
      <w:r w:rsidR="00F1547E">
        <w:rPr>
          <w:rFonts w:cstheme="minorHAnsi"/>
          <w:kern w:val="0"/>
          <w:lang w:val="en-US"/>
        </w:rPr>
        <w:t xml:space="preserve">older eldercare workers </w:t>
      </w:r>
      <w:r w:rsidR="00BE244E">
        <w:rPr>
          <w:rFonts w:cstheme="minorHAnsi"/>
          <w:kern w:val="0"/>
          <w:lang w:val="en-US"/>
        </w:rPr>
        <w:t>expected retirement age</w:t>
      </w:r>
      <w:r w:rsidR="00F1547E">
        <w:rPr>
          <w:rFonts w:cstheme="minorHAnsi"/>
          <w:kern w:val="0"/>
          <w:lang w:val="en-US"/>
        </w:rPr>
        <w:t xml:space="preserve"> </w:t>
      </w:r>
      <w:r>
        <w:rPr>
          <w:rFonts w:cstheme="minorHAnsi"/>
          <w:kern w:val="0"/>
          <w:lang w:val="en-US"/>
        </w:rPr>
        <w:t>(</w:t>
      </w:r>
      <w:r w:rsidR="00D02DA2">
        <w:rPr>
          <w:rFonts w:cstheme="minorHAnsi"/>
          <w:kern w:val="0"/>
          <w:lang w:val="en-US"/>
        </w:rPr>
        <w:t>"</w:t>
      </w:r>
      <w:r w:rsidRPr="009B4645">
        <w:rPr>
          <w:rFonts w:cstheme="minorHAnsi"/>
          <w:kern w:val="0"/>
          <w:lang w:val="en-US"/>
        </w:rPr>
        <w:t>At what age do you think you</w:t>
      </w:r>
      <w:r w:rsidR="00D02DA2">
        <w:rPr>
          <w:rFonts w:cstheme="minorHAnsi"/>
          <w:kern w:val="0"/>
          <w:lang w:val="en-US"/>
        </w:rPr>
        <w:t>'</w:t>
      </w:r>
      <w:r w:rsidRPr="009B4645">
        <w:rPr>
          <w:rFonts w:cstheme="minorHAnsi"/>
          <w:kern w:val="0"/>
          <w:lang w:val="en-US"/>
        </w:rPr>
        <w:t>ll retire (as things look today)?</w:t>
      </w:r>
      <w:r w:rsidR="00D02DA2">
        <w:rPr>
          <w:rFonts w:cstheme="minorHAnsi"/>
          <w:kern w:val="0"/>
          <w:lang w:val="en-US"/>
        </w:rPr>
        <w:t>"</w:t>
      </w:r>
      <w:r>
        <w:rPr>
          <w:rFonts w:cstheme="minorHAnsi"/>
          <w:kern w:val="0"/>
          <w:lang w:val="en-US"/>
        </w:rPr>
        <w:t>)</w:t>
      </w:r>
      <w:r w:rsidR="00BE244E">
        <w:rPr>
          <w:rFonts w:cstheme="minorHAnsi"/>
          <w:kern w:val="0"/>
          <w:lang w:val="en-US"/>
        </w:rPr>
        <w:t>, a widely used measurement of retirement intentions</w:t>
      </w:r>
      <w:r w:rsidR="00A5420D">
        <w:rPr>
          <w:rFonts w:cstheme="minorHAnsi"/>
          <w:kern w:val="0"/>
          <w:lang w:val="en-US"/>
        </w:rPr>
        <w:t xml:space="preserve"> </w:t>
      </w:r>
      <w:r w:rsidR="005D2808">
        <w:rPr>
          <w:rFonts w:cstheme="minorHAnsi"/>
          <w:kern w:val="0"/>
          <w:lang w:val="en-US"/>
        </w:rPr>
        <w:fldChar w:fldCharType="begin" w:fldLock="1"/>
      </w:r>
      <w:r w:rsidR="00682763">
        <w:rPr>
          <w:rFonts w:cstheme="minorHAnsi"/>
          <w:kern w:val="0"/>
          <w:lang w:val="en-US"/>
        </w:rPr>
        <w:instrText>ADDIN CSL_CITATION {"citationItems":[{"id":"ITEM-1","itemData":{"DOI":"10.1017/S0144686X03001624","ISSN":"0144686X","abstract":"Retirement has traditionally been seen as the beginning of old age. It has been depicted as mandatory expulsion front the workforce and seen to mark the transition to a period of ill health and poverty. Such ideas and associations are however being challenged in the developed world by socio-demographic changes in retirement and old age. People in the United Kingdom as elsewhere are living longer and healthier lives, and many older people have access to non-state incomes that afford them a reasonable standard of living in retirement. There is however still concern that inequalities persist into old age. Data from two waves of the British Whitehall II study have been used to assess the relative effects of occupational grade, psychological and general health during working life, and retirement patterns or pathways on activities, attitudes to health and income in retirement. The results show that the majority of the sample reported good health, financial security and overall satisfaction with life, but with observable inequalities. Regression analyses demonstrate that pre-retirement circumstances generally had a greater effect on later life than the retirement route or pathway. Retirement no longer represents a drastic break between working and post-work life but rather, the results suggest, there are continuities between the two periods. It is concluded that the main causes of inequalities in retirement are work-based rather than in retirement itself. © 2004 Cambridge University Press.","author":[{"dropping-particle":"","family":"Hyde","given":"Martin","non-dropping-particle":"","parse-names":false,"suffix":""},{"dropping-particle":"","family":"Ferrie","given":"Jane","non-dropping-particle":"","parse-names":false,"suffix":""},{"dropping-particle":"","family":"Higgs","given":"Paul","non-dropping-particle":"","parse-names":false,"suffix":""},{"dropping-particle":"","family":"Mein","given":"Gill","non-dropping-particle":"","parse-names":false,"suffix":""},{"dropping-particle":"","family":"Nazroo","given":"James","non-dropping-particle":"","parse-names":false,"suffix":""}],"container-title":"Ageing and Society","id":"ITEM-1","issue":"2","issued":{"date-parts":[["2004"]]},"page":"279-296","title":"The effects of pre-retirement factors and retirement route on circumstances in retirement: Findings from the Whitehall II study","type":"article-journal","volume":"24"},"uris":["http://www.mendeley.com/documents/?uuid=6b482107-b8b1-44ab-a3f2-669eccd942b8"]}],"mendeley":{"formattedCitation":"(Hyde et al., 2004)","plainTextFormattedCitation":"(Hyde et al., 2004)","previouslyFormattedCitation":"(Hyde et al., 2004)"},"properties":{"noteIndex":0},"schema":"https://github.com/citation-style-language/schema/raw/master/csl-citation.json"}</w:instrText>
      </w:r>
      <w:r w:rsidR="005D2808">
        <w:rPr>
          <w:rFonts w:cstheme="minorHAnsi"/>
          <w:kern w:val="0"/>
          <w:lang w:val="en-US"/>
        </w:rPr>
        <w:fldChar w:fldCharType="separate"/>
      </w:r>
      <w:r w:rsidR="005D2808" w:rsidRPr="005D2808">
        <w:rPr>
          <w:rFonts w:cstheme="minorHAnsi"/>
          <w:noProof/>
          <w:kern w:val="0"/>
          <w:lang w:val="en-US"/>
        </w:rPr>
        <w:t>(Hyde et al., 2004)</w:t>
      </w:r>
      <w:r w:rsidR="005D2808">
        <w:rPr>
          <w:rFonts w:cstheme="minorHAnsi"/>
          <w:kern w:val="0"/>
          <w:lang w:val="en-US"/>
        </w:rPr>
        <w:fldChar w:fldCharType="end"/>
      </w:r>
      <w:r w:rsidR="005D2808">
        <w:rPr>
          <w:rFonts w:cstheme="minorHAnsi"/>
          <w:kern w:val="0"/>
          <w:lang w:val="en-US"/>
        </w:rPr>
        <w:t xml:space="preserve"> </w:t>
      </w:r>
      <w:r w:rsidR="00B167ED">
        <w:rPr>
          <w:rFonts w:cstheme="minorHAnsi"/>
          <w:kern w:val="0"/>
          <w:lang w:val="en-US"/>
        </w:rPr>
        <w:fldChar w:fldCharType="begin" w:fldLock="1"/>
      </w:r>
      <w:r w:rsidR="005D2808">
        <w:rPr>
          <w:rFonts w:cstheme="minorHAnsi"/>
          <w:kern w:val="0"/>
          <w:lang w:val="en-US"/>
        </w:rPr>
        <w:instrText>ADDIN CSL_CITATION {"citationItems":[{"id":"ITEM-1","itemData":{"DOI":"10.1093/workar/waw001","ISSN":"20544650","abstract":"Although there have been many reviews of the retirement literature in recent years, the issue of retirement timing has received less attention, neglecting some large and important issues. Further, a significant number of empirical articles about retirement timing have been published across multiple disciplines since these review articles were written. The purpose of our study is to review and integrate prior research regarding retirement timing. We define retirement timing as the age or relative point at which workers exit from their position or career path (e.g., early, on time, and later). We propose a model to serve as an organizing framework for understanding retirement timing. Our model includes antecedents and consequences that are each grouped in terms of individual, family, work, and sociocultural factors related to the timing of the retirement process. We identify and discuss key factors that serve to moderate the relation between retirement timing and consequences. Finally, we identify gaps in the current literature and provide recommendations for future research.","author":[{"dropping-particle":"","family":"Fisher","given":"Gwenith G.","non-dropping-particle":"","parse-names":false,"suffix":""},{"dropping-particle":"","family":"Chaffee","given":"Dorey S.","non-dropping-particle":"","parse-names":false,"suffix":""},{"dropping-particle":"","family":"Sonnega","given":"Amanda","non-dropping-particle":"","parse-names":false,"suffix":""}],"container-title":"Work, Aging and Retirement","id":"ITEM-1","issue":"2","issued":{"date-parts":[["2016"]]},"page":"230-261","title":"Retirement timing: A review and recommendations for future research","type":"article-journal","volume":"2"},"uris":["http://www.mendeley.com/documents/?uuid=c5e61461-5315-4289-a384-589854d595f4"]}],"mendeley":{"formattedCitation":"(Fisher et al., 2016)","manualFormatting":"( ","plainTextFormattedCitation":"(Fisher et al., 2016)","previouslyFormattedCitation":"(Fisher et al., 2016)"},"properties":{"noteIndex":0},"schema":"https://github.com/citation-style-language/schema/raw/master/csl-citation.json"}</w:instrText>
      </w:r>
      <w:r w:rsidR="00B167ED">
        <w:rPr>
          <w:rFonts w:cstheme="minorHAnsi"/>
          <w:kern w:val="0"/>
          <w:lang w:val="en-US"/>
        </w:rPr>
        <w:fldChar w:fldCharType="separate"/>
      </w:r>
      <w:r w:rsidR="00B167ED" w:rsidRPr="00B167ED">
        <w:rPr>
          <w:rFonts w:cstheme="minorHAnsi"/>
          <w:noProof/>
          <w:kern w:val="0"/>
          <w:lang w:val="en-US"/>
        </w:rPr>
        <w:t>(</w:t>
      </w:r>
      <w:r w:rsidR="005D2808" w:rsidRPr="00B167ED" w:rsidDel="005D2808">
        <w:rPr>
          <w:rFonts w:cstheme="minorHAnsi"/>
          <w:noProof/>
          <w:kern w:val="0"/>
          <w:lang w:val="en-US"/>
        </w:rPr>
        <w:t xml:space="preserve"> </w:t>
      </w:r>
      <w:r w:rsidR="00B167ED">
        <w:rPr>
          <w:rFonts w:cstheme="minorHAnsi"/>
          <w:kern w:val="0"/>
          <w:lang w:val="en-US"/>
        </w:rPr>
        <w:fldChar w:fldCharType="end"/>
      </w:r>
      <w:r w:rsidR="00F1547E">
        <w:rPr>
          <w:rFonts w:cstheme="minorHAnsi"/>
          <w:kern w:val="0"/>
          <w:lang w:val="en-US"/>
        </w:rPr>
        <w:t xml:space="preserve">. The expected retirement age </w:t>
      </w:r>
      <w:r w:rsidR="00CF1B9F">
        <w:rPr>
          <w:rFonts w:cstheme="minorHAnsi"/>
          <w:kern w:val="0"/>
          <w:lang w:val="en-US"/>
        </w:rPr>
        <w:t>was</w:t>
      </w:r>
      <w:r w:rsidR="00F1547E">
        <w:rPr>
          <w:rFonts w:cstheme="minorHAnsi"/>
          <w:kern w:val="0"/>
          <w:lang w:val="en-US"/>
        </w:rPr>
        <w:t xml:space="preserve"> given in years. We used </w:t>
      </w:r>
      <w:r w:rsidR="00F1547E" w:rsidRPr="002F4FD7">
        <w:rPr>
          <w:rFonts w:cs="Calibri"/>
          <w:lang w:val="en-GB"/>
        </w:rPr>
        <w:t>Fisher, Chaffee</w:t>
      </w:r>
      <w:r w:rsidR="00BE2D80">
        <w:rPr>
          <w:rFonts w:cs="Calibri"/>
          <w:lang w:val="en-GB"/>
        </w:rPr>
        <w:t xml:space="preserve"> and</w:t>
      </w:r>
      <w:r w:rsidR="00F1547E" w:rsidRPr="002F4FD7">
        <w:rPr>
          <w:rFonts w:cs="Calibri"/>
          <w:lang w:val="en-GB"/>
        </w:rPr>
        <w:t xml:space="preserve"> </w:t>
      </w:r>
      <w:proofErr w:type="spellStart"/>
      <w:r w:rsidR="00F1547E" w:rsidRPr="002F4FD7">
        <w:rPr>
          <w:rFonts w:cs="Calibri"/>
          <w:lang w:val="en-GB"/>
        </w:rPr>
        <w:t>Sonnega</w:t>
      </w:r>
      <w:r w:rsidR="00F1547E">
        <w:rPr>
          <w:rFonts w:cs="Calibri"/>
          <w:lang w:val="en-GB"/>
        </w:rPr>
        <w:t>'</w:t>
      </w:r>
      <w:r w:rsidR="00F1547E" w:rsidRPr="002F4FD7">
        <w:rPr>
          <w:rFonts w:cs="Calibri"/>
          <w:lang w:val="en-GB"/>
        </w:rPr>
        <w:t>s</w:t>
      </w:r>
      <w:proofErr w:type="spellEnd"/>
      <w:r w:rsidR="00F1547E" w:rsidRPr="002F4FD7">
        <w:rPr>
          <w:rFonts w:cs="Calibri"/>
          <w:lang w:val="en-GB"/>
        </w:rPr>
        <w:t xml:space="preserve"> </w:t>
      </w:r>
      <w:r w:rsidR="00F1547E">
        <w:rPr>
          <w:rFonts w:cs="Calibri"/>
          <w:lang w:val="en-GB"/>
        </w:rPr>
        <w:fldChar w:fldCharType="begin" w:fldLock="1"/>
      </w:r>
      <w:r w:rsidR="00F1547E">
        <w:rPr>
          <w:rFonts w:cs="Calibri"/>
          <w:lang w:val="en-GB"/>
        </w:rPr>
        <w:instrText>ADDIN CSL_CITATION {"citationItems":[{"id":"ITEM-1","itemData":{"DOI":"10.1093/workar/waw001","ISSN":"20544650","abstract":"Although there have been many reviews of the retirement literature in recent years, the issue of retirement timing has received less attention, neglecting some large and important issues. Further, a significant number of empirical articles about retirement timing have been published across multiple disciplines since these review articles were written. The purpose of our study is to review and integrate prior research regarding retirement timing. We define retirement timing as the age or relative point at which workers exit from their position or career path (e.g., early, on time, and later). We propose a model to serve as an organizing framework for understanding retirement timing. Our model includes antecedents and consequences that are each grouped in terms of individual, family, work, and sociocultural factors related to the timing of the retirement process. We identify and discuss key factors that serve to moderate the relation between retirement timing and consequences. Finally, we identify gaps in the current literature and provide recommendations for future research.","author":[{"dropping-particle":"","family":"Fisher","given":"Gwenith G.","non-dropping-particle":"","parse-names":false,"suffix":""},{"dropping-particle":"","family":"Chaffee","given":"Dorey S.","non-dropping-particle":"","parse-names":false,"suffix":""},{"dropping-particle":"","family":"Sonnega","given":"Amanda","non-dropping-particle":"","parse-names":false,"suffix":""}],"container-title":"Work, Aging and Retirement","id":"ITEM-1","issue":"2","issued":{"date-parts":[["2016"]]},"page":"230-261","title":"Retirement timing: A review and recommendations for future research","type":"article-journal","volume":"2"},"suppress-author":1,"uris":["http://www.mendeley.com/documents/?uuid=c5e61461-5315-4289-a384-589854d595f4"]}],"mendeley":{"formattedCitation":"(2016)","plainTextFormattedCitation":"(2016)","previouslyFormattedCitation":"(2016)"},"properties":{"noteIndex":0},"schema":"https://github.com/citation-style-language/schema/raw/master/csl-citation.json"}</w:instrText>
      </w:r>
      <w:r w:rsidR="00F1547E">
        <w:rPr>
          <w:rFonts w:cs="Calibri"/>
          <w:lang w:val="en-GB"/>
        </w:rPr>
        <w:fldChar w:fldCharType="separate"/>
      </w:r>
      <w:r w:rsidR="00F1547E" w:rsidRPr="006610BB">
        <w:rPr>
          <w:rFonts w:cs="Calibri"/>
          <w:noProof/>
          <w:lang w:val="en-GB"/>
        </w:rPr>
        <w:t>(2016)</w:t>
      </w:r>
      <w:r w:rsidR="00F1547E">
        <w:rPr>
          <w:rFonts w:cs="Calibri"/>
          <w:lang w:val="en-GB"/>
        </w:rPr>
        <w:fldChar w:fldCharType="end"/>
      </w:r>
      <w:r w:rsidR="00F1547E">
        <w:rPr>
          <w:rFonts w:cs="Calibri"/>
          <w:lang w:val="en-GB"/>
        </w:rPr>
        <w:t xml:space="preserve"> </w:t>
      </w:r>
      <w:proofErr w:type="spellStart"/>
      <w:r w:rsidR="00F1547E" w:rsidRPr="002F4FD7">
        <w:rPr>
          <w:rFonts w:cs="Calibri"/>
          <w:lang w:val="en-GB"/>
        </w:rPr>
        <w:t>trichotomization</w:t>
      </w:r>
      <w:proofErr w:type="spellEnd"/>
      <w:r w:rsidR="00F1547E">
        <w:rPr>
          <w:rFonts w:cstheme="minorHAnsi"/>
          <w:kern w:val="0"/>
          <w:lang w:val="en-US"/>
        </w:rPr>
        <w:t xml:space="preserve"> on early, on-time, and late retirement timing, which has </w:t>
      </w:r>
      <w:r w:rsidR="00BE2D80">
        <w:rPr>
          <w:rFonts w:cstheme="minorHAnsi"/>
          <w:kern w:val="0"/>
          <w:lang w:val="en-US"/>
        </w:rPr>
        <w:t xml:space="preserve">also </w:t>
      </w:r>
      <w:r w:rsidR="00F1547E">
        <w:rPr>
          <w:rFonts w:cstheme="minorHAnsi"/>
          <w:kern w:val="0"/>
          <w:lang w:val="en-US"/>
        </w:rPr>
        <w:t xml:space="preserve">been used in other studies </w:t>
      </w:r>
      <w:r w:rsidR="00F1547E" w:rsidRPr="005D2808">
        <w:rPr>
          <w:rFonts w:cstheme="minorHAnsi"/>
          <w:kern w:val="0"/>
          <w:lang w:val="en-US"/>
        </w:rPr>
        <w:fldChar w:fldCharType="begin" w:fldLock="1"/>
      </w:r>
      <w:r w:rsidR="00F1547E" w:rsidRPr="005D2808">
        <w:rPr>
          <w:rFonts w:cstheme="minorHAnsi"/>
          <w:kern w:val="0"/>
          <w:lang w:val="en-US"/>
        </w:rPr>
        <w:instrText>ADDIN CSL_CITATION {"citationItems":[{"id":"ITEM-1","itemData":{"DOI":"10.3390/ijerph18052746","ISSN":"16604601","PMID":"33800492","abstract":"To address the challenges of demographic aging, governments and organizations encour-age extended working lives. This study investigates how individual health‐ and age‐related workplace factors contribute to preferred, expected and actual retirement timing, as well as to the con-gruency between preferences vs. expectations, and preferences vs. actual retirement. We used data from a representative Swedish longitudinal sample comprising 4058 workers aged 50–64, with fol-low‐up data regarding actual retirement timing available for 1164 respondents. Multinomial logistic regression analyses suggest that later preferred, expected, and actual retirement timing were, to different extent, influenced by better health, an age‐friendly workplace and feeling positive regarding the future at work. Emotional exhaustion, age‐related inequalities at work and experiencing aging as an obstacle increased the likelihood of preferring to retire earlier than one expected to, over retiring at the time one expected to. Those with better health and positive work prospects were less likely to prefer retiring earlier than they expected to, and more likely to being “pulled toward working until 65 and beyond”, compared to being “pulled toward early retirement”. Experiencing aging as an obstacle decreased the chances of being “pulled toward working until 65 and beyond”. The results provide insights on how to facilitate extended working lives.","author":[{"dropping-particle":"","family":"Sousa‐Ribeiro","given":"Marta","non-dropping-particle":"","parse-names":false,"suffix":""},{"dropping-particle":"","family":"Bernhard‐Oettel","given":"Claudia","non-dropping-particle":"","parse-names":false,"suffix":""},{"dropping-particle":"","family":"Sverke","given":"Magnus","non-dropping-particle":"","parse-names":false,"suffix":""},{"dropping-particle":"","family":"Westerlund","given":"Hugo","non-dropping-particle":"","parse-names":false,"suffix":""}],"container-title":"International Journal of Environmental Research and Public Health","id":"ITEM-1","issue":"5","issued":{"date-parts":[["2021"]]},"page":"1-23","title":"Health‐ and age‐related workplace factors as predictors of preferred, expected, and actual retirement timing: Findings from a swedish cohort study","type":"article-journal","volume":"18"},"uris":["http://www.mendeley.com/documents/?uuid=7bba41ab-1d4f-4a98-af12-99871d777841"]}],"mendeley":{"formattedCitation":"(Sousa‐Ribeiro et al., 2021)","manualFormatting":"(e.g., Sousa-Ribeiro et al., 2021)","plainTextFormattedCitation":"(Sousa‐Ribeiro et al., 2021)","previouslyFormattedCitation":"(Sousa‐Ribeiro et al., 2021)"},"properties":{"noteIndex":0},"schema":"https://github.com/citation-style-language/schema/raw/master/csl-citation.json"}</w:instrText>
      </w:r>
      <w:r w:rsidR="00F1547E" w:rsidRPr="005D2808">
        <w:rPr>
          <w:rFonts w:cstheme="minorHAnsi"/>
          <w:kern w:val="0"/>
          <w:lang w:val="en-US"/>
        </w:rPr>
        <w:fldChar w:fldCharType="separate"/>
      </w:r>
      <w:r w:rsidR="00F1547E" w:rsidRPr="005D2808">
        <w:rPr>
          <w:rFonts w:cstheme="minorHAnsi"/>
          <w:noProof/>
          <w:kern w:val="0"/>
          <w:lang w:val="en-US"/>
        </w:rPr>
        <w:t>(e.g., Sousa-Ribeiro et al., 2021)</w:t>
      </w:r>
      <w:r w:rsidR="00F1547E" w:rsidRPr="005D2808">
        <w:rPr>
          <w:rFonts w:cstheme="minorHAnsi"/>
          <w:kern w:val="0"/>
          <w:lang w:val="en-US"/>
        </w:rPr>
        <w:fldChar w:fldCharType="end"/>
      </w:r>
      <w:r w:rsidR="00F1547E" w:rsidRPr="005D2808">
        <w:rPr>
          <w:rFonts w:cstheme="minorHAnsi"/>
          <w:kern w:val="0"/>
          <w:lang w:val="en-US"/>
        </w:rPr>
        <w:t xml:space="preserve">. </w:t>
      </w:r>
      <w:bookmarkStart w:id="3" w:name="_Hlk151477685"/>
      <w:r w:rsidR="00F1547E" w:rsidRPr="005D2808">
        <w:rPr>
          <w:rFonts w:cstheme="minorHAnsi"/>
          <w:kern w:val="0"/>
          <w:lang w:val="en-US"/>
        </w:rPr>
        <w:t>W</w:t>
      </w:r>
      <w:r w:rsidRPr="005D2808">
        <w:rPr>
          <w:rFonts w:cstheme="minorHAnsi"/>
          <w:kern w:val="0"/>
          <w:lang w:val="en-US"/>
        </w:rPr>
        <w:t xml:space="preserve">e coded </w:t>
      </w:r>
      <w:r w:rsidR="00F1547E" w:rsidRPr="005D2808">
        <w:rPr>
          <w:rFonts w:cstheme="minorHAnsi"/>
          <w:kern w:val="0"/>
          <w:lang w:val="en-US"/>
        </w:rPr>
        <w:t xml:space="preserve">the expected retirement age </w:t>
      </w:r>
      <w:r w:rsidRPr="005D2808">
        <w:rPr>
          <w:rFonts w:cstheme="minorHAnsi"/>
          <w:kern w:val="0"/>
          <w:lang w:val="en-US"/>
        </w:rPr>
        <w:t>into early</w:t>
      </w:r>
      <w:r w:rsidR="00F1547E" w:rsidRPr="005D2808">
        <w:rPr>
          <w:rFonts w:cstheme="minorHAnsi"/>
          <w:kern w:val="0"/>
          <w:lang w:val="en-US"/>
        </w:rPr>
        <w:t xml:space="preserve">: </w:t>
      </w:r>
      <w:r w:rsidRPr="005D2808">
        <w:rPr>
          <w:rFonts w:cstheme="minorHAnsi"/>
          <w:kern w:val="0"/>
          <w:lang w:val="en-US"/>
        </w:rPr>
        <w:t>1=age 6</w:t>
      </w:r>
      <w:r w:rsidR="00F1547E" w:rsidRPr="005D2808">
        <w:rPr>
          <w:rFonts w:cstheme="minorHAnsi"/>
          <w:kern w:val="0"/>
          <w:lang w:val="en-US"/>
        </w:rPr>
        <w:t>1</w:t>
      </w:r>
      <w:r w:rsidRPr="005D2808">
        <w:rPr>
          <w:rFonts w:cstheme="minorHAnsi"/>
          <w:kern w:val="0"/>
          <w:lang w:val="en-US"/>
        </w:rPr>
        <w:t xml:space="preserve"> or earlier; </w:t>
      </w:r>
      <w:r w:rsidR="00F1547E" w:rsidRPr="005D2808">
        <w:rPr>
          <w:rFonts w:cstheme="minorHAnsi"/>
          <w:kern w:val="0"/>
          <w:lang w:val="en-US"/>
        </w:rPr>
        <w:t xml:space="preserve">on-time: </w:t>
      </w:r>
      <w:r w:rsidRPr="005D2808">
        <w:rPr>
          <w:rFonts w:cstheme="minorHAnsi"/>
          <w:kern w:val="0"/>
          <w:lang w:val="en-US"/>
        </w:rPr>
        <w:t xml:space="preserve">2=age </w:t>
      </w:r>
      <w:r w:rsidR="006610BB" w:rsidRPr="005D2808">
        <w:rPr>
          <w:rFonts w:cstheme="minorHAnsi"/>
          <w:kern w:val="0"/>
          <w:lang w:val="en-US"/>
        </w:rPr>
        <w:t>6</w:t>
      </w:r>
      <w:r w:rsidR="00F1547E" w:rsidRPr="005D2808">
        <w:rPr>
          <w:rFonts w:cstheme="minorHAnsi"/>
          <w:kern w:val="0"/>
          <w:lang w:val="en-US"/>
        </w:rPr>
        <w:t>2-65</w:t>
      </w:r>
      <w:r w:rsidR="006610BB" w:rsidRPr="005D2808">
        <w:rPr>
          <w:rFonts w:cstheme="minorHAnsi"/>
          <w:kern w:val="0"/>
          <w:lang w:val="en-US"/>
        </w:rPr>
        <w:t xml:space="preserve">; </w:t>
      </w:r>
      <w:r w:rsidR="00F1547E" w:rsidRPr="005D2808">
        <w:rPr>
          <w:rFonts w:cstheme="minorHAnsi"/>
          <w:kern w:val="0"/>
          <w:lang w:val="en-US"/>
        </w:rPr>
        <w:t xml:space="preserve">late: </w:t>
      </w:r>
      <w:r w:rsidR="006610BB" w:rsidRPr="005D2808">
        <w:rPr>
          <w:rFonts w:cstheme="minorHAnsi"/>
          <w:kern w:val="0"/>
          <w:lang w:val="en-US"/>
        </w:rPr>
        <w:t>3=age 66 or later).</w:t>
      </w:r>
      <w:r w:rsidR="006610BB">
        <w:rPr>
          <w:rFonts w:cstheme="minorHAnsi"/>
          <w:kern w:val="0"/>
          <w:lang w:val="en-US"/>
        </w:rPr>
        <w:t xml:space="preserve"> </w:t>
      </w:r>
    </w:p>
    <w:bookmarkEnd w:id="3"/>
    <w:p w14:paraId="35B1D9CB" w14:textId="77777777" w:rsidR="00347BB2" w:rsidRPr="00223E95" w:rsidRDefault="00347BB2" w:rsidP="002A726E">
      <w:pPr>
        <w:autoSpaceDE w:val="0"/>
        <w:autoSpaceDN w:val="0"/>
        <w:adjustRightInd w:val="0"/>
        <w:spacing w:after="0" w:line="360" w:lineRule="auto"/>
        <w:ind w:left="567" w:right="1088"/>
        <w:rPr>
          <w:rFonts w:cstheme="minorHAnsi"/>
          <w:kern w:val="0"/>
          <w:lang w:val="en-US"/>
        </w:rPr>
      </w:pPr>
    </w:p>
    <w:p w14:paraId="02FD1EB6" w14:textId="77777777" w:rsidR="00347BB2" w:rsidRDefault="00347BB2" w:rsidP="002A726E">
      <w:pPr>
        <w:autoSpaceDE w:val="0"/>
        <w:autoSpaceDN w:val="0"/>
        <w:adjustRightInd w:val="0"/>
        <w:spacing w:after="0" w:line="360" w:lineRule="auto"/>
        <w:ind w:left="567" w:right="1088"/>
        <w:rPr>
          <w:rFonts w:cstheme="minorHAnsi"/>
          <w:b/>
          <w:bCs/>
          <w:i/>
          <w:iCs/>
          <w:kern w:val="0"/>
          <w:lang w:val="en-US"/>
        </w:rPr>
      </w:pPr>
      <w:r w:rsidRPr="009171E6">
        <w:rPr>
          <w:rFonts w:cstheme="minorHAnsi"/>
          <w:b/>
          <w:bCs/>
          <w:i/>
          <w:iCs/>
          <w:kern w:val="0"/>
          <w:lang w:val="en-US"/>
        </w:rPr>
        <w:t xml:space="preserve">Independent variables </w:t>
      </w:r>
    </w:p>
    <w:p w14:paraId="60F9CF0B" w14:textId="7746DFDF" w:rsidR="00B655AA" w:rsidRDefault="00B655AA" w:rsidP="002A726E">
      <w:pPr>
        <w:autoSpaceDE w:val="0"/>
        <w:autoSpaceDN w:val="0"/>
        <w:adjustRightInd w:val="0"/>
        <w:spacing w:after="0" w:line="360" w:lineRule="auto"/>
        <w:ind w:left="567" w:right="1088"/>
        <w:rPr>
          <w:rFonts w:cstheme="minorHAnsi"/>
          <w:kern w:val="0"/>
          <w:lang w:val="en-US"/>
        </w:rPr>
      </w:pPr>
      <w:r w:rsidRPr="001042D3">
        <w:rPr>
          <w:rFonts w:cstheme="minorHAnsi"/>
          <w:kern w:val="0"/>
          <w:lang w:val="en-US"/>
        </w:rPr>
        <w:t>Independent variables of interest were operationalized using valid and reliable research scales 1) the C</w:t>
      </w:r>
      <w:r w:rsidR="00F51DC4" w:rsidRPr="001042D3">
        <w:rPr>
          <w:rFonts w:cstheme="minorHAnsi"/>
          <w:kern w:val="0"/>
          <w:lang w:val="en-US"/>
        </w:rPr>
        <w:t xml:space="preserve">ontrol, </w:t>
      </w:r>
      <w:r w:rsidRPr="001042D3">
        <w:rPr>
          <w:rFonts w:cstheme="minorHAnsi"/>
          <w:kern w:val="0"/>
          <w:lang w:val="en-US"/>
        </w:rPr>
        <w:t>S</w:t>
      </w:r>
      <w:r w:rsidR="00F51DC4" w:rsidRPr="001042D3">
        <w:rPr>
          <w:rFonts w:cstheme="minorHAnsi"/>
          <w:kern w:val="0"/>
          <w:lang w:val="en-US"/>
        </w:rPr>
        <w:t xml:space="preserve">upport, </w:t>
      </w:r>
      <w:r w:rsidR="00671C87" w:rsidRPr="001042D3">
        <w:rPr>
          <w:rFonts w:cstheme="minorHAnsi"/>
          <w:kern w:val="0"/>
          <w:lang w:val="en-US"/>
        </w:rPr>
        <w:t>D</w:t>
      </w:r>
      <w:r w:rsidR="00F51DC4" w:rsidRPr="001042D3">
        <w:rPr>
          <w:rFonts w:cstheme="minorHAnsi"/>
          <w:kern w:val="0"/>
          <w:lang w:val="en-US"/>
        </w:rPr>
        <w:t xml:space="preserve">emand </w:t>
      </w:r>
      <w:r w:rsidR="005D2808" w:rsidRPr="001042D3">
        <w:rPr>
          <w:rFonts w:cstheme="minorHAnsi"/>
          <w:kern w:val="0"/>
          <w:lang w:val="en-US"/>
        </w:rPr>
        <w:t>Questionnaire</w:t>
      </w:r>
      <w:r w:rsidR="00F51DC4" w:rsidRPr="001042D3">
        <w:rPr>
          <w:rFonts w:cstheme="minorHAnsi"/>
          <w:kern w:val="0"/>
          <w:lang w:val="en-US"/>
        </w:rPr>
        <w:t xml:space="preserve"> </w:t>
      </w:r>
      <w:r w:rsidR="001042D3" w:rsidRPr="001042D3">
        <w:rPr>
          <w:rFonts w:cstheme="minorHAnsi"/>
          <w:kern w:val="0"/>
          <w:lang w:val="en-US"/>
        </w:rPr>
        <w:t>(CSDQ)</w:t>
      </w:r>
      <w:r w:rsidRPr="001042D3">
        <w:rPr>
          <w:rFonts w:cstheme="minorHAnsi"/>
          <w:kern w:val="0"/>
          <w:lang w:val="en-US"/>
        </w:rPr>
        <w:t>; the 2) the Work/non-work</w:t>
      </w:r>
      <w:r w:rsidR="00B821F2" w:rsidRPr="001042D3">
        <w:rPr>
          <w:rFonts w:cstheme="minorHAnsi"/>
          <w:kern w:val="0"/>
          <w:lang w:val="en-US"/>
        </w:rPr>
        <w:t xml:space="preserve"> (family)</w:t>
      </w:r>
      <w:r w:rsidRPr="001042D3">
        <w:rPr>
          <w:rFonts w:cstheme="minorHAnsi"/>
          <w:kern w:val="0"/>
          <w:lang w:val="en-US"/>
        </w:rPr>
        <w:t xml:space="preserve"> interface</w:t>
      </w:r>
      <w:r w:rsidR="001042D3" w:rsidRPr="001042D3">
        <w:rPr>
          <w:rFonts w:cstheme="minorHAnsi"/>
          <w:kern w:val="0"/>
          <w:lang w:val="en-US"/>
        </w:rPr>
        <w:t xml:space="preserve"> </w:t>
      </w:r>
      <w:r w:rsidR="001042D3" w:rsidRPr="001042D3">
        <w:rPr>
          <w:rFonts w:cstheme="minorHAnsi"/>
          <w:kern w:val="0"/>
          <w:lang w:val="en-US"/>
        </w:rPr>
        <w:fldChar w:fldCharType="begin" w:fldLock="1"/>
      </w:r>
      <w:r w:rsidR="001042D3" w:rsidRPr="001042D3">
        <w:rPr>
          <w:rFonts w:cstheme="minorHAnsi"/>
          <w:kern w:val="0"/>
          <w:lang w:val="en-US"/>
        </w:rPr>
        <w:instrText>ADDIN CSL_CITATION {"citationItems":[{"id":"ITEM-1","itemData":{"DOI":"10.1037/a0016737","ISSN":"10768998","PMID":"19839663","abstract":"Though early research on the work/nonwork interface was broader in scope, most recent research has focused on the interface between work and family. There is a need for an inclusive, validated measure of work/nonwork interference and enhancement that is appropriate for all workers regardless of their marital or family life status. The authors report here on 3 studies in which they develop a theoretically grounded and empirically validated multidimensional, bidirectional measure of work/nonwork interference and enhancement. All scale items refer to work/nonwork, whereas previous measures have mixed work/family and work/nonwork items or emphasize family roles in the nonwork domain. Quantitative analysis of the scale items yielded 17 items to measure work interference with personal life, personal life interference with work, work enhancement of personal life, and personal life enhancement of work. Confirmatory factor analyses and structural equation modeling results provide evidence for convergent, discriminant, and criterion-related validity for the scale from 2 large samples of workers (N = 540, N = 384) across multiple job types and organizations. © 2009 American Psychological Association.","author":[{"dropping-particle":"","family":"Fisher","given":"Gwenith G.","non-dropping-particle":"","parse-names":false,"suffix":""},{"dropping-particle":"","family":"Bulger","given":"Carrie A.","non-dropping-particle":"","parse-names":false,"suffix":""},{"dropping-particle":"","family":"Smith","given":"Carlla S.","non-dropping-particle":"","parse-names":false,"suffix":""}],"container-title":"Journal of Occupational Health Psychology","id":"ITEM-1","issue":"4","issued":{"date-parts":[["2009"]]},"page":"441-456","title":"Beyond Work and Family: A Measure of Work/Nonwork Interference and Enhancement","type":"article-journal","volume":"14"},"uris":["http://www.mendeley.com/documents/?uuid=08580565-6ada-4f7d-a934-c55d691896af"]}],"mendeley":{"formattedCitation":"(Fisher et al., 2009)","plainTextFormattedCitation":"(Fisher et al., 2009)","previouslyFormattedCitation":"(Fisher et al., 2009)"},"properties":{"noteIndex":0},"schema":"https://github.com/citation-style-language/schema/raw/master/csl-citation.json"}</w:instrText>
      </w:r>
      <w:r w:rsidR="001042D3" w:rsidRPr="001042D3">
        <w:rPr>
          <w:rFonts w:cstheme="minorHAnsi"/>
          <w:kern w:val="0"/>
          <w:lang w:val="en-US"/>
        </w:rPr>
        <w:fldChar w:fldCharType="separate"/>
      </w:r>
      <w:r w:rsidR="001042D3" w:rsidRPr="001042D3">
        <w:rPr>
          <w:rFonts w:cstheme="minorHAnsi"/>
          <w:noProof/>
          <w:kern w:val="0"/>
          <w:lang w:val="en-US"/>
        </w:rPr>
        <w:t>(Fisher et al., 2009)</w:t>
      </w:r>
      <w:r w:rsidR="001042D3" w:rsidRPr="001042D3">
        <w:rPr>
          <w:rFonts w:cstheme="minorHAnsi"/>
          <w:kern w:val="0"/>
          <w:lang w:val="en-US"/>
        </w:rPr>
        <w:fldChar w:fldCharType="end"/>
      </w:r>
      <w:r w:rsidRPr="001042D3">
        <w:rPr>
          <w:rFonts w:cstheme="minorHAnsi"/>
          <w:kern w:val="0"/>
          <w:lang w:val="en-US"/>
        </w:rPr>
        <w:t>; 3) the work ability Index</w:t>
      </w:r>
      <w:r w:rsidR="001042D3" w:rsidRPr="001042D3">
        <w:rPr>
          <w:rFonts w:cstheme="minorHAnsi"/>
          <w:kern w:val="0"/>
          <w:lang w:val="en-US"/>
        </w:rPr>
        <w:t xml:space="preserve"> </w:t>
      </w:r>
      <w:r w:rsidR="001042D3" w:rsidRPr="001042D3">
        <w:rPr>
          <w:rFonts w:cstheme="minorHAnsi"/>
          <w:kern w:val="0"/>
          <w:lang w:val="en-US"/>
        </w:rPr>
        <w:fldChar w:fldCharType="begin" w:fldLock="1"/>
      </w:r>
      <w:r w:rsidR="005D2808">
        <w:rPr>
          <w:rFonts w:cstheme="minorHAnsi"/>
          <w:kern w:val="0"/>
          <w:lang w:val="en-US"/>
        </w:rPr>
        <w:instrText>ADDIN CSL_CITATION {"citationItems":[{"id":"ITEM-1","itemData":{"DOI":"10.3390/ijerph16183386","ISSN":"16604601","PMID":"31547466","abstract":"Work ability (WA) is an important concept in occupational health research and for over 30 years assessed worldwide with the Work Ability Index (WAI). In recent years, criticism of the WAI is increasing and alternative instruments are presented. The authors postulate that theoretical and methodological issues need to be considered when developing alternative measures for WA and conclude that a short uni-dimensional measure is needed that avoids conceptual blurring. The aim of this contribution is to validate the short and uni-dimensional WAI components WAI 1 (one item measuring “current WA compared with the lifetime best”) and WAI 2 (two items assessing “WA in relation to the [mental/physical] demands of the job”). Cross-sectional and 12-month follow-up data of two large samples was used to determine construct validity of WAI 1 and WAI 2 and to relate this to respective results with the WAI. Data sources comprise nurses in Europe investigated in the European NEXT-Study (Sample A; Ncross-sectional = 28,948 and NLongitudinal = 9462, respectively) and nursing home employees of the German 3Q-Study (Sample B) where nurses (N = 786; 339, respectively) and non-nursing workers (N = 443; 196, respectively) were included. Concurrent and predictive validity of WAI 1 and WAI 2 were assessed with self-rated general health, burnout and considerations leaving the profession. Spearman rank correlation (ρ) with bootstrapping was applied. In all instances, WAI 1 and WAI 2 correlated moderately, and to a similar degree, with the related constructs. Further, WAI 1 and 2 correlated with WAI moderately to strongly with ρ ranging from 0.72 to 0.76 (WAI 1) and 0.70–0.78 (WAI 2). Based on the findings and supported by theoretical and methodological considerations, the authors confirm the feasibility of the short measures WAI 1 and WAI 2 for replacing WAI at least in occupational health research and employee surveys.","author":[{"dropping-particle":"","family":"Ebener","given":"Melanie","non-dropping-particle":"","parse-names":false,"suffix":""},{"dropping-particle":"","family":"Hasselhorn","given":"Hans Martin","non-dropping-particle":"","parse-names":false,"suffix":""}],"container-title":"International Journal of Environmental Research and Public Health","id":"ITEM-1","issue":"18","issued":{"date-parts":[["2019"]]},"page":"1-15","title":"Validation of short measures of work ability for research and employee surveys","type":"article-journal","volume":"16"},"uris":["http://www.mendeley.com/documents/?uuid=dc5f396c-3f83-4ecb-8e5b-08302083d79a"]}],"mendeley":{"formattedCitation":"(Ebener &amp; Hasselhorn, 2019)","plainTextFormattedCitation":"(Ebener &amp; Hasselhorn, 2019)","previouslyFormattedCitation":"(Ebener &amp; Hasselhorn, 2019)"},"properties":{"noteIndex":0},"schema":"https://github.com/citation-style-language/schema/raw/master/csl-citation.json"}</w:instrText>
      </w:r>
      <w:r w:rsidR="001042D3" w:rsidRPr="001042D3">
        <w:rPr>
          <w:rFonts w:cstheme="minorHAnsi"/>
          <w:kern w:val="0"/>
          <w:lang w:val="en-US"/>
        </w:rPr>
        <w:fldChar w:fldCharType="separate"/>
      </w:r>
      <w:r w:rsidR="001042D3" w:rsidRPr="001042D3">
        <w:rPr>
          <w:rFonts w:cstheme="minorHAnsi"/>
          <w:noProof/>
          <w:kern w:val="0"/>
          <w:lang w:val="en-US"/>
        </w:rPr>
        <w:t>(Ebener &amp; Hasselhorn, 2019)</w:t>
      </w:r>
      <w:r w:rsidR="001042D3" w:rsidRPr="001042D3">
        <w:rPr>
          <w:rFonts w:cstheme="minorHAnsi"/>
          <w:kern w:val="0"/>
          <w:lang w:val="en-US"/>
        </w:rPr>
        <w:fldChar w:fldCharType="end"/>
      </w:r>
      <w:r w:rsidRPr="001042D3">
        <w:rPr>
          <w:rFonts w:cstheme="minorHAnsi"/>
          <w:kern w:val="0"/>
          <w:lang w:val="en-US"/>
        </w:rPr>
        <w:t>.</w:t>
      </w:r>
    </w:p>
    <w:p w14:paraId="3EE11E17" w14:textId="77777777" w:rsidR="00B655AA" w:rsidRDefault="00B655AA" w:rsidP="002A726E">
      <w:pPr>
        <w:autoSpaceDE w:val="0"/>
        <w:autoSpaceDN w:val="0"/>
        <w:adjustRightInd w:val="0"/>
        <w:spacing w:after="0" w:line="360" w:lineRule="auto"/>
        <w:ind w:left="567" w:right="1088"/>
        <w:rPr>
          <w:rFonts w:cstheme="minorHAnsi"/>
          <w:kern w:val="0"/>
          <w:lang w:val="en-US"/>
        </w:rPr>
      </w:pPr>
    </w:p>
    <w:p w14:paraId="2F857518" w14:textId="7F965AE7" w:rsidR="00EA6686" w:rsidRDefault="00F51DC4" w:rsidP="002A726E">
      <w:pPr>
        <w:autoSpaceDE w:val="0"/>
        <w:autoSpaceDN w:val="0"/>
        <w:adjustRightInd w:val="0"/>
        <w:spacing w:after="0" w:line="360" w:lineRule="auto"/>
        <w:ind w:left="567" w:right="1088"/>
        <w:rPr>
          <w:rFonts w:cstheme="minorHAnsi"/>
          <w:kern w:val="0"/>
          <w:lang w:val="en-US"/>
        </w:rPr>
      </w:pPr>
      <w:r>
        <w:rPr>
          <w:rFonts w:cstheme="minorHAnsi"/>
          <w:kern w:val="0"/>
          <w:lang w:val="en-US"/>
        </w:rPr>
        <w:t>Inspired by the</w:t>
      </w:r>
      <w:r w:rsidR="00262BB8">
        <w:rPr>
          <w:rFonts w:cstheme="minorHAnsi"/>
          <w:kern w:val="0"/>
          <w:lang w:val="en-US"/>
        </w:rPr>
        <w:t xml:space="preserve"> JD-R </w:t>
      </w:r>
      <w:r>
        <w:rPr>
          <w:rFonts w:cstheme="minorHAnsi"/>
          <w:kern w:val="0"/>
          <w:lang w:val="en-US"/>
        </w:rPr>
        <w:t xml:space="preserve">theory </w:t>
      </w:r>
      <w:r w:rsidR="00B9600A">
        <w:rPr>
          <w:rFonts w:cstheme="minorHAnsi"/>
          <w:kern w:val="0"/>
          <w:lang w:val="en-US"/>
        </w:rPr>
        <w:t>,</w:t>
      </w:r>
      <w:r w:rsidR="00262BB8">
        <w:rPr>
          <w:rFonts w:cstheme="minorHAnsi"/>
          <w:kern w:val="0"/>
          <w:lang w:val="en-US"/>
        </w:rPr>
        <w:t xml:space="preserve"> </w:t>
      </w:r>
      <w:r>
        <w:rPr>
          <w:rFonts w:cstheme="minorHAnsi"/>
          <w:kern w:val="0"/>
          <w:lang w:val="en-US"/>
        </w:rPr>
        <w:fldChar w:fldCharType="begin" w:fldLock="1"/>
      </w:r>
      <w:r w:rsidR="001042D3">
        <w:rPr>
          <w:rFonts w:cstheme="minorHAnsi"/>
          <w:kern w:val="0"/>
          <w:lang w:val="en-US"/>
        </w:rPr>
        <w:instrText>ADDIN CSL_CITATION {"citationItems":[{"id":"ITEM-1","itemData":{"DOI":"https://doi.org/10.1037/ocp0000056","abstract":"The job demands</w:instrText>
      </w:r>
      <w:r w:rsidR="001042D3">
        <w:rPr>
          <w:rFonts w:ascii="Cambria Math" w:hAnsi="Cambria Math" w:cs="Cambria Math"/>
          <w:kern w:val="0"/>
          <w:lang w:val="en-US"/>
        </w:rPr>
        <w:instrText>⫺</w:instrText>
      </w:r>
      <w:r w:rsidR="001042D3">
        <w:rPr>
          <w:rFonts w:cstheme="minorHAnsi"/>
          <w:kern w:val="0"/>
          <w:lang w:val="en-US"/>
        </w:rPr>
        <w:instrText>resources (JD-R) model was introduced in the international literature 15 years ago (Demerouti, Bakker, Nachreiner, &amp; Schaufeli, 2001). The model has been applied in thousands of organizations and has inspired hundreds of empirical articles, including 1 of the most downloaded articles of the Journal of Occupational Health Psychology (Bakker, Demerouti, &amp; Euwema, 2005). This article provides evidence for the buffering role of various job resources on the impact of various job demands on burnout. In the present article, we look back on the first 10 years of the JD-R model (2001–2010), and discuss how the model matured into JD-R theory (2011–2016). Moreover, we look at the future of the theory and outline which new issues in JD-R theory are worthwhile of investigation. We also discuss practical applications. It is our hope that JD-R theory will continue to inspire researchers and practitioners who want to promote employee well-being and effective organizational functioning.","author":[{"dropping-particle":"","family":"Bakker","given":"Arnold B.","non-dropping-particle":"","parse-names":false,"suffix":""},{"dropping-particle":"","family":"Demerouti","given":"Evangelia","non-dropping-particle":"","parse-names":false,"suffix":""}],"container-title":"Journal of Occupational Health Psychology","id":"ITEM-1","issued":{"date-parts":[["2016"]]},"page":"273-285","title":"Job demands-resources theory: Taking stock and looking forward","type":"article-journal","volume":"22"},"uris":["http://www.mendeley.com/documents/?uuid=cf3e6c7c-9e5b-4c95-a3b1-7059a5a8804c"]}],"mendeley":{"formattedCitation":"(Bakker &amp; Demerouti, 2016)","plainTextFormattedCitation":"(Bakker &amp; Demerouti, 2016)","previouslyFormattedCitation":"(Bakker &amp; Demerouti, 2016)"},"properties":{"noteIndex":0},"schema":"https://github.com/citation-style-language/schema/raw/master/csl-citation.json"}</w:instrText>
      </w:r>
      <w:r>
        <w:rPr>
          <w:rFonts w:cstheme="minorHAnsi"/>
          <w:kern w:val="0"/>
          <w:lang w:val="en-US"/>
        </w:rPr>
        <w:fldChar w:fldCharType="separate"/>
      </w:r>
      <w:r w:rsidRPr="00F51DC4">
        <w:rPr>
          <w:rFonts w:cstheme="minorHAnsi"/>
          <w:noProof/>
          <w:kern w:val="0"/>
          <w:lang w:val="en-US"/>
        </w:rPr>
        <w:t>(Bakker &amp; Demerouti, 2016)</w:t>
      </w:r>
      <w:r>
        <w:rPr>
          <w:rFonts w:cstheme="minorHAnsi"/>
          <w:kern w:val="0"/>
          <w:lang w:val="en-US"/>
        </w:rPr>
        <w:fldChar w:fldCharType="end"/>
      </w:r>
      <w:r>
        <w:rPr>
          <w:rFonts w:cstheme="minorHAnsi"/>
          <w:kern w:val="0"/>
          <w:lang w:val="en-US"/>
        </w:rPr>
        <w:t xml:space="preserve"> </w:t>
      </w:r>
      <w:r w:rsidR="00262BB8">
        <w:rPr>
          <w:rFonts w:cstheme="minorHAnsi"/>
          <w:kern w:val="0"/>
          <w:lang w:val="en-US"/>
        </w:rPr>
        <w:t xml:space="preserve">the variables were grouped into Demands and Resources. </w:t>
      </w:r>
      <w:r w:rsidR="009171E6">
        <w:rPr>
          <w:rFonts w:cstheme="minorHAnsi"/>
          <w:kern w:val="0"/>
          <w:lang w:val="en-US"/>
        </w:rPr>
        <w:t xml:space="preserve">For example, </w:t>
      </w:r>
      <w:r w:rsidR="00BE244E">
        <w:rPr>
          <w:rFonts w:cstheme="minorHAnsi"/>
          <w:kern w:val="0"/>
          <w:lang w:val="en-US"/>
        </w:rPr>
        <w:t xml:space="preserve">the </w:t>
      </w:r>
      <w:r w:rsidR="009171E6">
        <w:rPr>
          <w:rFonts w:cstheme="minorHAnsi"/>
          <w:kern w:val="0"/>
          <w:lang w:val="en-US"/>
        </w:rPr>
        <w:t>demand variables were</w:t>
      </w:r>
      <w:r w:rsidR="00EA6686">
        <w:rPr>
          <w:rFonts w:cstheme="minorHAnsi"/>
          <w:kern w:val="0"/>
          <w:lang w:val="en-US"/>
        </w:rPr>
        <w:t xml:space="preserve"> </w:t>
      </w:r>
      <w:r w:rsidR="00712AD9">
        <w:rPr>
          <w:rFonts w:cstheme="minorHAnsi"/>
          <w:kern w:val="0"/>
          <w:lang w:val="en-US"/>
        </w:rPr>
        <w:t>work-family</w:t>
      </w:r>
      <w:r w:rsidR="009171E6">
        <w:rPr>
          <w:rFonts w:cstheme="minorHAnsi"/>
          <w:kern w:val="0"/>
          <w:lang w:val="en-US"/>
        </w:rPr>
        <w:t>/family-work</w:t>
      </w:r>
      <w:r w:rsidR="00712AD9">
        <w:rPr>
          <w:rFonts w:cstheme="minorHAnsi"/>
          <w:kern w:val="0"/>
          <w:lang w:val="en-US"/>
        </w:rPr>
        <w:t xml:space="preserve"> conflict, job demands</w:t>
      </w:r>
      <w:r w:rsidR="00B9600A">
        <w:rPr>
          <w:rFonts w:cstheme="minorHAnsi"/>
          <w:kern w:val="0"/>
          <w:lang w:val="en-US"/>
        </w:rPr>
        <w:t>,</w:t>
      </w:r>
      <w:r w:rsidR="00712AD9">
        <w:rPr>
          <w:rFonts w:cstheme="minorHAnsi"/>
          <w:kern w:val="0"/>
          <w:lang w:val="en-US"/>
        </w:rPr>
        <w:t xml:space="preserve"> and emotional job demands, </w:t>
      </w:r>
      <w:r w:rsidR="009171E6">
        <w:rPr>
          <w:rFonts w:cstheme="minorHAnsi"/>
          <w:kern w:val="0"/>
          <w:lang w:val="en-US"/>
        </w:rPr>
        <w:t xml:space="preserve">and </w:t>
      </w:r>
      <w:r w:rsidR="009171E6">
        <w:rPr>
          <w:rFonts w:cstheme="minorHAnsi"/>
          <w:kern w:val="0"/>
          <w:lang w:val="en-US"/>
        </w:rPr>
        <w:lastRenderedPageBreak/>
        <w:t>the</w:t>
      </w:r>
      <w:r w:rsidR="00712AD9">
        <w:rPr>
          <w:rFonts w:cstheme="minorHAnsi"/>
          <w:kern w:val="0"/>
          <w:lang w:val="en-US"/>
        </w:rPr>
        <w:t xml:space="preserve"> </w:t>
      </w:r>
      <w:r w:rsidR="00712AD9" w:rsidRPr="00BE244E">
        <w:rPr>
          <w:rFonts w:cstheme="minorHAnsi"/>
          <w:kern w:val="0"/>
          <w:lang w:val="en-US"/>
        </w:rPr>
        <w:t>resource</w:t>
      </w:r>
      <w:r w:rsidR="00712AD9">
        <w:rPr>
          <w:rFonts w:cstheme="minorHAnsi"/>
          <w:kern w:val="0"/>
          <w:lang w:val="en-US"/>
        </w:rPr>
        <w:t xml:space="preserve"> variables</w:t>
      </w:r>
      <w:r w:rsidR="009171E6">
        <w:rPr>
          <w:rFonts w:cstheme="minorHAnsi"/>
          <w:kern w:val="0"/>
          <w:lang w:val="en-US"/>
        </w:rPr>
        <w:t xml:space="preserve"> were</w:t>
      </w:r>
      <w:r w:rsidR="00712AD9">
        <w:rPr>
          <w:rFonts w:cstheme="minorHAnsi"/>
          <w:kern w:val="0"/>
          <w:lang w:val="en-US"/>
        </w:rPr>
        <w:t xml:space="preserve"> work-family</w:t>
      </w:r>
      <w:r w:rsidR="009171E6">
        <w:rPr>
          <w:rFonts w:cstheme="minorHAnsi"/>
          <w:kern w:val="0"/>
          <w:lang w:val="en-US"/>
        </w:rPr>
        <w:t>/</w:t>
      </w:r>
      <w:r w:rsidR="00712AD9">
        <w:rPr>
          <w:rFonts w:cstheme="minorHAnsi"/>
          <w:kern w:val="0"/>
          <w:lang w:val="en-US"/>
        </w:rPr>
        <w:t xml:space="preserve">family-work enhancement, </w:t>
      </w:r>
      <w:r w:rsidR="0038348B">
        <w:rPr>
          <w:rFonts w:cstheme="minorHAnsi"/>
          <w:kern w:val="0"/>
          <w:lang w:val="en-US"/>
        </w:rPr>
        <w:t>job control</w:t>
      </w:r>
      <w:r w:rsidR="00B9600A">
        <w:rPr>
          <w:rFonts w:cstheme="minorHAnsi"/>
          <w:kern w:val="0"/>
          <w:lang w:val="en-US"/>
        </w:rPr>
        <w:t>,</w:t>
      </w:r>
      <w:r w:rsidR="0038348B">
        <w:rPr>
          <w:rFonts w:cstheme="minorHAnsi"/>
          <w:kern w:val="0"/>
          <w:lang w:val="en-US"/>
        </w:rPr>
        <w:t xml:space="preserve"> and social support</w:t>
      </w:r>
      <w:r w:rsidR="006501B9">
        <w:rPr>
          <w:rFonts w:cstheme="minorHAnsi"/>
          <w:kern w:val="0"/>
          <w:lang w:val="en-US"/>
        </w:rPr>
        <w:t xml:space="preserve"> at work</w:t>
      </w:r>
      <w:r w:rsidR="0038348B">
        <w:rPr>
          <w:rFonts w:cstheme="minorHAnsi"/>
          <w:kern w:val="0"/>
          <w:lang w:val="en-US"/>
        </w:rPr>
        <w:t>. Health variables were self-rated health, work</w:t>
      </w:r>
      <w:r w:rsidR="00CF1B9F">
        <w:rPr>
          <w:rFonts w:cstheme="minorHAnsi"/>
          <w:kern w:val="0"/>
          <w:lang w:val="en-US"/>
        </w:rPr>
        <w:t xml:space="preserve"> </w:t>
      </w:r>
      <w:r w:rsidR="0038348B">
        <w:rPr>
          <w:rFonts w:cstheme="minorHAnsi"/>
          <w:kern w:val="0"/>
          <w:lang w:val="en-US"/>
        </w:rPr>
        <w:t xml:space="preserve">ability, and life events in terms of illness or accident of </w:t>
      </w:r>
      <w:r w:rsidR="00586E74">
        <w:rPr>
          <w:rFonts w:cstheme="minorHAnsi"/>
          <w:kern w:val="0"/>
          <w:lang w:val="en-US"/>
        </w:rPr>
        <w:t xml:space="preserve">one’s </w:t>
      </w:r>
      <w:r w:rsidR="0038348B">
        <w:rPr>
          <w:rFonts w:cstheme="minorHAnsi"/>
          <w:kern w:val="0"/>
          <w:lang w:val="en-US"/>
        </w:rPr>
        <w:t xml:space="preserve">partner. To assess </w:t>
      </w:r>
      <w:r w:rsidR="001042D3">
        <w:rPr>
          <w:rFonts w:cstheme="minorHAnsi"/>
          <w:kern w:val="0"/>
          <w:lang w:val="en-US"/>
        </w:rPr>
        <w:t>work motivation</w:t>
      </w:r>
      <w:r w:rsidR="00B9600A">
        <w:rPr>
          <w:rFonts w:cstheme="minorHAnsi"/>
          <w:kern w:val="0"/>
          <w:lang w:val="en-US"/>
        </w:rPr>
        <w:t>,</w:t>
      </w:r>
      <w:r w:rsidR="0038348B">
        <w:rPr>
          <w:rFonts w:cstheme="minorHAnsi"/>
          <w:kern w:val="0"/>
          <w:lang w:val="en-US"/>
        </w:rPr>
        <w:t xml:space="preserve"> we used the variable job satisfaction. The variables were grouped into individual-, work-, and organizational-level factors for the analysis. </w:t>
      </w:r>
    </w:p>
    <w:p w14:paraId="718C7C8F" w14:textId="77777777" w:rsidR="00EA6686" w:rsidRDefault="00EA6686" w:rsidP="002A726E">
      <w:pPr>
        <w:autoSpaceDE w:val="0"/>
        <w:autoSpaceDN w:val="0"/>
        <w:adjustRightInd w:val="0"/>
        <w:spacing w:after="0" w:line="360" w:lineRule="auto"/>
        <w:ind w:left="567" w:right="1088"/>
        <w:rPr>
          <w:rFonts w:cstheme="minorHAnsi"/>
          <w:kern w:val="0"/>
          <w:lang w:val="en-US"/>
        </w:rPr>
      </w:pPr>
    </w:p>
    <w:p w14:paraId="45CE5393" w14:textId="5EE4AE93" w:rsidR="00975DA2" w:rsidRDefault="00D9430B" w:rsidP="002A726E">
      <w:pPr>
        <w:autoSpaceDE w:val="0"/>
        <w:autoSpaceDN w:val="0"/>
        <w:adjustRightInd w:val="0"/>
        <w:spacing w:after="0" w:line="360" w:lineRule="auto"/>
        <w:ind w:left="567" w:right="1088"/>
        <w:rPr>
          <w:rFonts w:cstheme="minorHAnsi"/>
          <w:i/>
          <w:iCs/>
          <w:kern w:val="0"/>
          <w:lang w:val="en-US"/>
        </w:rPr>
      </w:pPr>
      <w:r>
        <w:rPr>
          <w:rFonts w:cstheme="minorHAnsi"/>
          <w:i/>
          <w:iCs/>
          <w:kern w:val="0"/>
          <w:lang w:val="en-US"/>
        </w:rPr>
        <w:t>Demands</w:t>
      </w:r>
    </w:p>
    <w:p w14:paraId="7E3E388A" w14:textId="44B375A3" w:rsidR="008C531D" w:rsidRDefault="00B33A2E" w:rsidP="002A726E">
      <w:pPr>
        <w:autoSpaceDE w:val="0"/>
        <w:autoSpaceDN w:val="0"/>
        <w:adjustRightInd w:val="0"/>
        <w:spacing w:after="0" w:line="360" w:lineRule="auto"/>
        <w:ind w:left="567" w:right="1088"/>
        <w:rPr>
          <w:rFonts w:cstheme="minorHAnsi"/>
          <w:kern w:val="0"/>
          <w:lang w:val="en-US"/>
        </w:rPr>
      </w:pPr>
      <w:r>
        <w:rPr>
          <w:rFonts w:cstheme="minorHAnsi"/>
          <w:kern w:val="0"/>
          <w:lang w:val="en-US"/>
        </w:rPr>
        <w:t>P</w:t>
      </w:r>
      <w:r w:rsidR="00221524">
        <w:rPr>
          <w:rFonts w:cstheme="minorHAnsi"/>
          <w:kern w:val="0"/>
          <w:lang w:val="en-US"/>
        </w:rPr>
        <w:t>sychosocial work demands</w:t>
      </w:r>
      <w:r w:rsidR="008C531D">
        <w:rPr>
          <w:rFonts w:cstheme="minorHAnsi"/>
          <w:kern w:val="0"/>
          <w:lang w:val="en-US"/>
        </w:rPr>
        <w:t xml:space="preserve"> </w:t>
      </w:r>
      <w:r w:rsidR="00DD0457">
        <w:rPr>
          <w:rFonts w:cstheme="minorHAnsi"/>
          <w:kern w:val="0"/>
          <w:lang w:val="en-US"/>
        </w:rPr>
        <w:t>were</w:t>
      </w:r>
      <w:r w:rsidR="008C531D">
        <w:rPr>
          <w:rFonts w:cstheme="minorHAnsi"/>
          <w:kern w:val="0"/>
          <w:lang w:val="en-US"/>
        </w:rPr>
        <w:t xml:space="preserve"> measures by two subscales with </w:t>
      </w:r>
      <w:r w:rsidR="00DD0457">
        <w:rPr>
          <w:rFonts w:cstheme="minorHAnsi"/>
          <w:kern w:val="0"/>
          <w:lang w:val="en-US"/>
        </w:rPr>
        <w:t xml:space="preserve">5 items for job demands (e.g. “do you have to work very fast”) and, 3 items for emotional demands (e.g. “Is your work emotionally demanding?”). Conflict between work and family life was measured by two subscales, with 4 items for </w:t>
      </w:r>
      <w:r w:rsidR="00DD0457" w:rsidRPr="00DD0457">
        <w:rPr>
          <w:rFonts w:cstheme="minorHAnsi"/>
          <w:kern w:val="0"/>
          <w:lang w:val="en-US"/>
        </w:rPr>
        <w:t>work</w:t>
      </w:r>
      <w:r w:rsidR="00E77A83">
        <w:rPr>
          <w:rFonts w:cstheme="minorHAnsi"/>
          <w:kern w:val="0"/>
          <w:lang w:val="en-US"/>
        </w:rPr>
        <w:t xml:space="preserve"> to </w:t>
      </w:r>
      <w:r w:rsidR="00DD0457" w:rsidRPr="00DD0457">
        <w:rPr>
          <w:rFonts w:cstheme="minorHAnsi"/>
          <w:kern w:val="0"/>
          <w:lang w:val="en-US"/>
        </w:rPr>
        <w:t>family conflict</w:t>
      </w:r>
      <w:r w:rsidR="00DD0457">
        <w:rPr>
          <w:rFonts w:cstheme="minorHAnsi"/>
          <w:kern w:val="0"/>
          <w:lang w:val="en-US"/>
        </w:rPr>
        <w:t xml:space="preserve"> (e.g. “My personal life su</w:t>
      </w:r>
      <w:r w:rsidR="00EF6214">
        <w:rPr>
          <w:rFonts w:cstheme="minorHAnsi"/>
          <w:kern w:val="0"/>
          <w:lang w:val="en-US"/>
        </w:rPr>
        <w:t>ff</w:t>
      </w:r>
      <w:r w:rsidR="00DD0457">
        <w:rPr>
          <w:rFonts w:cstheme="minorHAnsi"/>
          <w:kern w:val="0"/>
          <w:lang w:val="en-US"/>
        </w:rPr>
        <w:t xml:space="preserve">er because of my work”), and 3 items for </w:t>
      </w:r>
      <w:r w:rsidR="00DD0457" w:rsidRPr="00DD0457">
        <w:rPr>
          <w:rFonts w:cstheme="minorHAnsi"/>
          <w:kern w:val="0"/>
          <w:lang w:val="en-US"/>
        </w:rPr>
        <w:t>family</w:t>
      </w:r>
      <w:r w:rsidR="00E77A83">
        <w:rPr>
          <w:rFonts w:cstheme="minorHAnsi"/>
          <w:kern w:val="0"/>
          <w:lang w:val="en-US"/>
        </w:rPr>
        <w:t xml:space="preserve"> to </w:t>
      </w:r>
      <w:r w:rsidR="00DD0457" w:rsidRPr="00DD0457">
        <w:rPr>
          <w:rFonts w:cstheme="minorHAnsi"/>
          <w:kern w:val="0"/>
          <w:lang w:val="en-US"/>
        </w:rPr>
        <w:t>work conflict</w:t>
      </w:r>
      <w:r w:rsidR="00DD0457">
        <w:rPr>
          <w:rFonts w:cstheme="minorHAnsi"/>
          <w:kern w:val="0"/>
          <w:lang w:val="en-US"/>
        </w:rPr>
        <w:t xml:space="preserve"> (e.g. “My work su</w:t>
      </w:r>
      <w:r w:rsidR="00EF6214">
        <w:rPr>
          <w:rFonts w:cstheme="minorHAnsi"/>
          <w:kern w:val="0"/>
          <w:lang w:val="en-US"/>
        </w:rPr>
        <w:t>ff</w:t>
      </w:r>
      <w:r w:rsidR="00DD0457">
        <w:rPr>
          <w:rFonts w:cstheme="minorHAnsi"/>
          <w:kern w:val="0"/>
          <w:lang w:val="en-US"/>
        </w:rPr>
        <w:t>ers because of everything going on in my personal life”).</w:t>
      </w:r>
    </w:p>
    <w:p w14:paraId="69575367" w14:textId="77777777" w:rsidR="00432F33" w:rsidRPr="00975DA2" w:rsidRDefault="00432F33" w:rsidP="002A726E">
      <w:pPr>
        <w:autoSpaceDE w:val="0"/>
        <w:autoSpaceDN w:val="0"/>
        <w:adjustRightInd w:val="0"/>
        <w:spacing w:after="0" w:line="360" w:lineRule="auto"/>
        <w:ind w:left="567" w:right="1088"/>
        <w:rPr>
          <w:rFonts w:cstheme="minorHAnsi"/>
          <w:i/>
          <w:iCs/>
          <w:kern w:val="0"/>
          <w:lang w:val="en-US"/>
        </w:rPr>
      </w:pPr>
    </w:p>
    <w:p w14:paraId="6D2E48A9" w14:textId="3FA506A2" w:rsidR="00975DA2" w:rsidRDefault="00D9430B" w:rsidP="002A726E">
      <w:pPr>
        <w:autoSpaceDE w:val="0"/>
        <w:autoSpaceDN w:val="0"/>
        <w:adjustRightInd w:val="0"/>
        <w:spacing w:after="0" w:line="360" w:lineRule="auto"/>
        <w:ind w:left="567" w:right="1088"/>
        <w:rPr>
          <w:rFonts w:cstheme="minorHAnsi"/>
          <w:i/>
          <w:iCs/>
          <w:kern w:val="0"/>
          <w:lang w:val="en-US"/>
        </w:rPr>
      </w:pPr>
      <w:r>
        <w:rPr>
          <w:rFonts w:cstheme="minorHAnsi"/>
          <w:i/>
          <w:iCs/>
          <w:kern w:val="0"/>
          <w:lang w:val="en-US"/>
        </w:rPr>
        <w:t>Resources</w:t>
      </w:r>
    </w:p>
    <w:p w14:paraId="3F1B95BD" w14:textId="4B66A8C6" w:rsidR="00E77A83" w:rsidRDefault="00DD0457" w:rsidP="002A726E">
      <w:pPr>
        <w:autoSpaceDE w:val="0"/>
        <w:autoSpaceDN w:val="0"/>
        <w:adjustRightInd w:val="0"/>
        <w:spacing w:after="0" w:line="360" w:lineRule="auto"/>
        <w:ind w:left="567" w:right="1088"/>
        <w:rPr>
          <w:rFonts w:cstheme="minorHAnsi"/>
          <w:kern w:val="0"/>
          <w:lang w:val="en-US"/>
        </w:rPr>
      </w:pPr>
      <w:r>
        <w:rPr>
          <w:rFonts w:cstheme="minorHAnsi"/>
          <w:kern w:val="0"/>
          <w:lang w:val="en-US"/>
        </w:rPr>
        <w:t xml:space="preserve">Psychosocial work resources </w:t>
      </w:r>
      <w:r w:rsidR="00E77A83">
        <w:rPr>
          <w:rFonts w:cstheme="minorHAnsi"/>
          <w:kern w:val="0"/>
          <w:lang w:val="en-US"/>
        </w:rPr>
        <w:t>were</w:t>
      </w:r>
      <w:r>
        <w:rPr>
          <w:rFonts w:cstheme="minorHAnsi"/>
          <w:kern w:val="0"/>
          <w:lang w:val="en-US"/>
        </w:rPr>
        <w:t xml:space="preserve"> measured by two subscales with </w:t>
      </w:r>
      <w:r w:rsidR="00E77A83">
        <w:rPr>
          <w:rFonts w:cstheme="minorHAnsi"/>
          <w:kern w:val="0"/>
          <w:lang w:val="en-US"/>
        </w:rPr>
        <w:t>6</w:t>
      </w:r>
      <w:r>
        <w:rPr>
          <w:rFonts w:cstheme="minorHAnsi"/>
          <w:kern w:val="0"/>
          <w:lang w:val="en-US"/>
        </w:rPr>
        <w:t xml:space="preserve"> items for social support </w:t>
      </w:r>
      <w:r w:rsidR="00E77A83">
        <w:rPr>
          <w:rFonts w:cstheme="minorHAnsi"/>
          <w:kern w:val="0"/>
          <w:lang w:val="en-US"/>
        </w:rPr>
        <w:t xml:space="preserve">at work </w:t>
      </w:r>
      <w:r>
        <w:rPr>
          <w:rFonts w:cstheme="minorHAnsi"/>
          <w:kern w:val="0"/>
          <w:lang w:val="en-US"/>
        </w:rPr>
        <w:t>(e.g. “</w:t>
      </w:r>
      <w:r w:rsidR="00E77A83">
        <w:rPr>
          <w:rFonts w:cstheme="minorHAnsi"/>
          <w:kern w:val="0"/>
          <w:lang w:val="en-US"/>
        </w:rPr>
        <w:t xml:space="preserve">There is a calm and pleasant atmosphere where I work”) and 5 items for control at work (e.g. “Do you have possibility of learning new things through work?”). Enhancement between work and family life were measured by two subscales with 3 items for work to family enhancement (e.g. “Because of my job, I am in a better mood at home”) and 3 items for family to work enhancement (e.g. “My personal life gives me energy to do my job”). </w:t>
      </w:r>
    </w:p>
    <w:p w14:paraId="438FD70D" w14:textId="77777777" w:rsidR="00347BB2" w:rsidRDefault="00347BB2" w:rsidP="00E77A83">
      <w:pPr>
        <w:autoSpaceDE w:val="0"/>
        <w:autoSpaceDN w:val="0"/>
        <w:adjustRightInd w:val="0"/>
        <w:spacing w:after="0" w:line="360" w:lineRule="auto"/>
        <w:ind w:right="1088"/>
        <w:rPr>
          <w:rFonts w:cstheme="minorHAnsi"/>
          <w:kern w:val="0"/>
          <w:lang w:val="en-US"/>
        </w:rPr>
      </w:pPr>
    </w:p>
    <w:p w14:paraId="44496E26" w14:textId="38FC445A" w:rsidR="00D9430B" w:rsidRDefault="00D9430B" w:rsidP="00D9430B">
      <w:pPr>
        <w:autoSpaceDE w:val="0"/>
        <w:autoSpaceDN w:val="0"/>
        <w:adjustRightInd w:val="0"/>
        <w:spacing w:after="0" w:line="360" w:lineRule="auto"/>
        <w:ind w:left="567" w:right="1088"/>
        <w:rPr>
          <w:rFonts w:cstheme="minorHAnsi"/>
          <w:i/>
          <w:iCs/>
          <w:kern w:val="0"/>
          <w:lang w:val="en-US"/>
        </w:rPr>
      </w:pPr>
      <w:r>
        <w:rPr>
          <w:rFonts w:cstheme="minorHAnsi"/>
          <w:i/>
          <w:iCs/>
          <w:kern w:val="0"/>
          <w:lang w:val="en-US"/>
        </w:rPr>
        <w:t>Health</w:t>
      </w:r>
      <w:r w:rsidRPr="00975DA2">
        <w:rPr>
          <w:rFonts w:cstheme="minorHAnsi"/>
          <w:i/>
          <w:iCs/>
          <w:kern w:val="0"/>
          <w:lang w:val="en-US"/>
        </w:rPr>
        <w:t xml:space="preserve"> </w:t>
      </w:r>
    </w:p>
    <w:p w14:paraId="5B7ACA5C" w14:textId="1CC71396" w:rsidR="00B167ED" w:rsidRDefault="00C07C90" w:rsidP="00C07C90">
      <w:pPr>
        <w:autoSpaceDE w:val="0"/>
        <w:autoSpaceDN w:val="0"/>
        <w:adjustRightInd w:val="0"/>
        <w:spacing w:after="0" w:line="360" w:lineRule="auto"/>
        <w:ind w:left="567" w:right="1088"/>
        <w:rPr>
          <w:rFonts w:cstheme="minorHAnsi"/>
          <w:kern w:val="0"/>
          <w:lang w:val="en-US"/>
        </w:rPr>
      </w:pPr>
      <w:r>
        <w:rPr>
          <w:rFonts w:cstheme="minorHAnsi"/>
          <w:kern w:val="0"/>
          <w:lang w:val="en-US"/>
        </w:rPr>
        <w:t>General s</w:t>
      </w:r>
      <w:r w:rsidR="00B167ED">
        <w:rPr>
          <w:rFonts w:cstheme="minorHAnsi"/>
          <w:kern w:val="0"/>
          <w:lang w:val="en-US"/>
        </w:rPr>
        <w:t>elf</w:t>
      </w:r>
      <w:r w:rsidR="00D9430B">
        <w:rPr>
          <w:rFonts w:cstheme="minorHAnsi"/>
          <w:kern w:val="0"/>
          <w:lang w:val="en-US"/>
        </w:rPr>
        <w:t xml:space="preserve">-rated health </w:t>
      </w:r>
      <w:r>
        <w:rPr>
          <w:rFonts w:cstheme="minorHAnsi"/>
          <w:kern w:val="0"/>
          <w:lang w:val="en-US"/>
        </w:rPr>
        <w:t>is a widely used measure of perceived current health status, which has been shown to be a</w:t>
      </w:r>
      <w:r w:rsidR="00100DCA">
        <w:rPr>
          <w:rFonts w:cstheme="minorHAnsi"/>
          <w:kern w:val="0"/>
          <w:lang w:val="en-US"/>
        </w:rPr>
        <w:t>n</w:t>
      </w:r>
      <w:r>
        <w:rPr>
          <w:rFonts w:cstheme="minorHAnsi"/>
          <w:kern w:val="0"/>
          <w:lang w:val="en-US"/>
        </w:rPr>
        <w:t xml:space="preserve"> indicator for the retirement timing </w:t>
      </w:r>
      <w:r w:rsidRPr="005D2808">
        <w:rPr>
          <w:rFonts w:cstheme="minorHAnsi"/>
          <w:kern w:val="0"/>
          <w:lang w:val="en-US"/>
        </w:rPr>
        <w:t>(REF).</w:t>
      </w:r>
      <w:r>
        <w:rPr>
          <w:rFonts w:cstheme="minorHAnsi"/>
          <w:kern w:val="0"/>
          <w:lang w:val="en-US"/>
        </w:rPr>
        <w:t xml:space="preserve"> </w:t>
      </w:r>
      <w:r w:rsidR="00C363A5">
        <w:rPr>
          <w:rFonts w:cstheme="minorHAnsi"/>
          <w:kern w:val="0"/>
          <w:lang w:val="en-US"/>
        </w:rPr>
        <w:t>S</w:t>
      </w:r>
      <w:r>
        <w:rPr>
          <w:rFonts w:cstheme="minorHAnsi"/>
          <w:kern w:val="0"/>
          <w:lang w:val="en-US"/>
        </w:rPr>
        <w:t xml:space="preserve">elf-rated health </w:t>
      </w:r>
      <w:r w:rsidR="00B167ED">
        <w:rPr>
          <w:rFonts w:cstheme="minorHAnsi"/>
          <w:kern w:val="0"/>
          <w:lang w:val="en-US"/>
        </w:rPr>
        <w:t xml:space="preserve">was measured with </w:t>
      </w:r>
      <w:r w:rsidR="00EF6214">
        <w:rPr>
          <w:rFonts w:cstheme="minorHAnsi"/>
          <w:kern w:val="0"/>
          <w:lang w:val="en-US"/>
        </w:rPr>
        <w:t>the</w:t>
      </w:r>
      <w:r>
        <w:rPr>
          <w:rFonts w:cstheme="minorHAnsi"/>
          <w:kern w:val="0"/>
          <w:lang w:val="en-US"/>
        </w:rPr>
        <w:t xml:space="preserve"> single</w:t>
      </w:r>
      <w:r w:rsidR="00B167ED">
        <w:rPr>
          <w:rFonts w:cstheme="minorHAnsi"/>
          <w:kern w:val="0"/>
          <w:lang w:val="en-US"/>
        </w:rPr>
        <w:t xml:space="preserve"> question: “How would you rate your general state of health</w:t>
      </w:r>
      <w:r w:rsidR="008C531D">
        <w:rPr>
          <w:rFonts w:cstheme="minorHAnsi"/>
          <w:kern w:val="0"/>
          <w:lang w:val="en-US"/>
        </w:rPr>
        <w:t>?”. Respondents answered on a 5-point scale from “very good” to “very poor”. Work ability was measured with two questions: “How would you rate your work capacity concerning physical/mental demands”. Life events was measured by two questions: “During the last two years, have you experienced any of the following: illness/accident of husband/wife/partners”.</w:t>
      </w:r>
    </w:p>
    <w:p w14:paraId="19109538" w14:textId="77777777" w:rsidR="00D9430B" w:rsidRDefault="00D9430B" w:rsidP="00D9430B">
      <w:pPr>
        <w:autoSpaceDE w:val="0"/>
        <w:autoSpaceDN w:val="0"/>
        <w:adjustRightInd w:val="0"/>
        <w:spacing w:after="0" w:line="360" w:lineRule="auto"/>
        <w:ind w:left="567" w:right="1088"/>
        <w:rPr>
          <w:rFonts w:cstheme="minorHAnsi"/>
          <w:kern w:val="0"/>
          <w:lang w:val="en-US"/>
        </w:rPr>
      </w:pPr>
    </w:p>
    <w:p w14:paraId="2C393407" w14:textId="02560B77" w:rsidR="00D9430B" w:rsidRPr="009171E6" w:rsidRDefault="00D9430B" w:rsidP="00D9430B">
      <w:pPr>
        <w:autoSpaceDE w:val="0"/>
        <w:autoSpaceDN w:val="0"/>
        <w:adjustRightInd w:val="0"/>
        <w:spacing w:after="0" w:line="360" w:lineRule="auto"/>
        <w:ind w:left="567" w:right="1088"/>
        <w:rPr>
          <w:rFonts w:cstheme="minorHAnsi"/>
          <w:i/>
          <w:iCs/>
          <w:kern w:val="0"/>
          <w:lang w:val="en-US"/>
        </w:rPr>
      </w:pPr>
      <w:r w:rsidRPr="009171E6">
        <w:rPr>
          <w:rFonts w:cstheme="minorHAnsi"/>
          <w:i/>
          <w:iCs/>
          <w:kern w:val="0"/>
          <w:lang w:val="en-US"/>
        </w:rPr>
        <w:lastRenderedPageBreak/>
        <w:t xml:space="preserve">Job </w:t>
      </w:r>
      <w:r>
        <w:rPr>
          <w:rFonts w:cstheme="minorHAnsi"/>
          <w:i/>
          <w:iCs/>
          <w:kern w:val="0"/>
          <w:lang w:val="en-US"/>
        </w:rPr>
        <w:t>satisfaction</w:t>
      </w:r>
    </w:p>
    <w:p w14:paraId="47A4CEB1" w14:textId="6DADC251" w:rsidR="00D9430B" w:rsidRDefault="00D9430B" w:rsidP="00D9430B">
      <w:pPr>
        <w:autoSpaceDE w:val="0"/>
        <w:autoSpaceDN w:val="0"/>
        <w:adjustRightInd w:val="0"/>
        <w:spacing w:after="0" w:line="360" w:lineRule="auto"/>
        <w:ind w:left="567" w:right="1088"/>
        <w:rPr>
          <w:rFonts w:cstheme="minorHAnsi"/>
          <w:kern w:val="0"/>
          <w:lang w:val="en-US"/>
        </w:rPr>
      </w:pPr>
      <w:r>
        <w:rPr>
          <w:rFonts w:cstheme="minorHAnsi"/>
          <w:kern w:val="0"/>
          <w:lang w:val="en-US"/>
        </w:rPr>
        <w:t>Job satisfaction</w:t>
      </w:r>
      <w:r w:rsidR="00421330">
        <w:rPr>
          <w:rFonts w:cstheme="minorHAnsi"/>
          <w:kern w:val="0"/>
          <w:lang w:val="en-US"/>
        </w:rPr>
        <w:t xml:space="preserve"> was assessed by one single item “Roughly, how satisfied are you with your work?”.</w:t>
      </w:r>
    </w:p>
    <w:p w14:paraId="51DDF536" w14:textId="77777777" w:rsidR="00E86C15" w:rsidRDefault="00E86C15" w:rsidP="00D9430B">
      <w:pPr>
        <w:autoSpaceDE w:val="0"/>
        <w:autoSpaceDN w:val="0"/>
        <w:adjustRightInd w:val="0"/>
        <w:spacing w:after="0" w:line="360" w:lineRule="auto"/>
        <w:ind w:left="567" w:right="1088"/>
        <w:rPr>
          <w:rFonts w:cstheme="minorHAnsi"/>
          <w:kern w:val="0"/>
          <w:lang w:val="en-US"/>
        </w:rPr>
      </w:pPr>
    </w:p>
    <w:p w14:paraId="0039EAA4" w14:textId="45CC568C" w:rsidR="00347BB2" w:rsidRPr="00D9430B" w:rsidRDefault="00D9430B" w:rsidP="00D9430B">
      <w:pPr>
        <w:autoSpaceDE w:val="0"/>
        <w:autoSpaceDN w:val="0"/>
        <w:adjustRightInd w:val="0"/>
        <w:spacing w:after="0" w:line="360" w:lineRule="auto"/>
        <w:ind w:left="567" w:right="1088"/>
        <w:rPr>
          <w:rFonts w:cstheme="minorHAnsi"/>
          <w:kern w:val="0"/>
          <w:lang w:val="en-US"/>
        </w:rPr>
      </w:pPr>
      <w:r>
        <w:rPr>
          <w:rFonts w:cstheme="minorHAnsi"/>
          <w:i/>
          <w:iCs/>
          <w:kern w:val="0"/>
          <w:lang w:val="en-US"/>
        </w:rPr>
        <w:t xml:space="preserve">Sociodemographic </w:t>
      </w:r>
      <w:r w:rsidR="00C07C90">
        <w:rPr>
          <w:rFonts w:cstheme="minorHAnsi"/>
          <w:i/>
          <w:iCs/>
          <w:kern w:val="0"/>
          <w:lang w:val="en-US"/>
        </w:rPr>
        <w:t>(covariates)</w:t>
      </w:r>
    </w:p>
    <w:p w14:paraId="17B37ED4" w14:textId="72F78AAD" w:rsidR="00710001" w:rsidRPr="00E40FB0" w:rsidRDefault="00C07C90" w:rsidP="00421330">
      <w:pPr>
        <w:autoSpaceDE w:val="0"/>
        <w:autoSpaceDN w:val="0"/>
        <w:adjustRightInd w:val="0"/>
        <w:spacing w:after="0" w:line="360" w:lineRule="auto"/>
        <w:ind w:left="567" w:right="1088"/>
        <w:rPr>
          <w:rFonts w:cstheme="minorHAnsi"/>
          <w:kern w:val="0"/>
          <w:lang w:val="en-US"/>
        </w:rPr>
      </w:pPr>
      <w:r>
        <w:rPr>
          <w:rFonts w:cstheme="minorHAnsi"/>
          <w:kern w:val="0"/>
          <w:lang w:val="en-US"/>
        </w:rPr>
        <w:t>Socio-demographics include</w:t>
      </w:r>
      <w:r w:rsidR="00C363A5">
        <w:rPr>
          <w:rFonts w:cstheme="minorHAnsi"/>
          <w:kern w:val="0"/>
          <w:lang w:val="en-US"/>
        </w:rPr>
        <w:t>d</w:t>
      </w:r>
      <w:r>
        <w:rPr>
          <w:rFonts w:cstheme="minorHAnsi"/>
          <w:kern w:val="0"/>
          <w:lang w:val="en-US"/>
        </w:rPr>
        <w:t xml:space="preserve"> s</w:t>
      </w:r>
      <w:r w:rsidR="00221524">
        <w:rPr>
          <w:rFonts w:cstheme="minorHAnsi"/>
          <w:kern w:val="0"/>
          <w:lang w:val="en-US"/>
        </w:rPr>
        <w:t>ex</w:t>
      </w:r>
      <w:r w:rsidR="00EF35C0">
        <w:rPr>
          <w:rFonts w:cstheme="minorHAnsi"/>
          <w:kern w:val="0"/>
          <w:lang w:val="en-US"/>
        </w:rPr>
        <w:t xml:space="preserve"> (men/women)</w:t>
      </w:r>
      <w:r w:rsidR="00221524">
        <w:rPr>
          <w:rFonts w:cstheme="minorHAnsi"/>
          <w:kern w:val="0"/>
          <w:lang w:val="en-US"/>
        </w:rPr>
        <w:t>, age</w:t>
      </w:r>
      <w:r w:rsidR="00EF35C0">
        <w:rPr>
          <w:rFonts w:cstheme="minorHAnsi"/>
          <w:kern w:val="0"/>
          <w:lang w:val="en-US"/>
        </w:rPr>
        <w:t xml:space="preserve"> </w:t>
      </w:r>
      <w:r w:rsidR="00EF35C0" w:rsidRPr="00EF35C0">
        <w:rPr>
          <w:rFonts w:cstheme="minorHAnsi"/>
          <w:kern w:val="0"/>
          <w:sz w:val="20"/>
          <w:szCs w:val="20"/>
          <w:lang w:val="en-US"/>
        </w:rPr>
        <w:t>(</w:t>
      </w:r>
      <w:r w:rsidR="00EF35C0" w:rsidRPr="00C07C90">
        <w:rPr>
          <w:rFonts w:cstheme="minorHAnsi"/>
          <w:lang w:val="en-US"/>
        </w:rPr>
        <w:t>45-49; 50-54; 55-59; 60-64; 65+</w:t>
      </w:r>
      <w:r w:rsidR="00EF35C0">
        <w:rPr>
          <w:rFonts w:cstheme="minorHAnsi"/>
          <w:sz w:val="20"/>
          <w:szCs w:val="20"/>
          <w:lang w:val="en-US"/>
        </w:rPr>
        <w:t>)</w:t>
      </w:r>
      <w:r w:rsidR="00221524">
        <w:rPr>
          <w:rFonts w:cstheme="minorHAnsi"/>
          <w:kern w:val="0"/>
          <w:lang w:val="en-US"/>
        </w:rPr>
        <w:t xml:space="preserve">, </w:t>
      </w:r>
      <w:r>
        <w:rPr>
          <w:rFonts w:cstheme="minorHAnsi"/>
          <w:kern w:val="0"/>
          <w:lang w:val="en-US"/>
        </w:rPr>
        <w:t>occupation (</w:t>
      </w:r>
      <w:r w:rsidR="00221524">
        <w:rPr>
          <w:rFonts w:cstheme="minorHAnsi"/>
          <w:kern w:val="0"/>
          <w:lang w:val="en-US"/>
        </w:rPr>
        <w:t>SSYK 2012</w:t>
      </w:r>
      <w:r w:rsidR="00EF35C0">
        <w:rPr>
          <w:rFonts w:cstheme="minorHAnsi"/>
          <w:kern w:val="0"/>
          <w:lang w:val="en-US"/>
        </w:rPr>
        <w:t xml:space="preserve"> </w:t>
      </w:r>
      <w:r w:rsidR="00E86C15">
        <w:rPr>
          <w:rFonts w:cstheme="minorHAnsi"/>
          <w:kern w:val="0"/>
          <w:lang w:val="en-US"/>
        </w:rPr>
        <w:t>Managers</w:t>
      </w:r>
      <w:r>
        <w:rPr>
          <w:rFonts w:cstheme="minorHAnsi"/>
          <w:kern w:val="0"/>
          <w:lang w:val="en-US"/>
        </w:rPr>
        <w:t xml:space="preserve">; </w:t>
      </w:r>
      <w:r w:rsidR="00E86C15">
        <w:rPr>
          <w:rFonts w:cstheme="minorHAnsi"/>
          <w:kern w:val="0"/>
          <w:lang w:val="en-US"/>
        </w:rPr>
        <w:t>Nurses; Assistant nurses and care workers)</w:t>
      </w:r>
      <w:r w:rsidR="00221524">
        <w:rPr>
          <w:rFonts w:cstheme="minorHAnsi"/>
          <w:kern w:val="0"/>
          <w:lang w:val="en-US"/>
        </w:rPr>
        <w:t xml:space="preserve">, </w:t>
      </w:r>
      <w:r w:rsidR="005452FE">
        <w:rPr>
          <w:rFonts w:cstheme="minorHAnsi"/>
          <w:kern w:val="0"/>
          <w:lang w:val="en-US"/>
        </w:rPr>
        <w:t>Swedish born</w:t>
      </w:r>
      <w:r>
        <w:rPr>
          <w:rFonts w:cstheme="minorHAnsi"/>
          <w:kern w:val="0"/>
          <w:lang w:val="en-US"/>
        </w:rPr>
        <w:t>(yes/no)</w:t>
      </w:r>
      <w:r w:rsidR="009171E6">
        <w:rPr>
          <w:rFonts w:cstheme="minorHAnsi"/>
          <w:kern w:val="0"/>
          <w:lang w:val="en-US"/>
        </w:rPr>
        <w:t xml:space="preserve">, </w:t>
      </w:r>
      <w:r w:rsidR="00E86C15">
        <w:rPr>
          <w:rFonts w:cstheme="minorHAnsi"/>
          <w:kern w:val="0"/>
          <w:lang w:val="en-US"/>
        </w:rPr>
        <w:t xml:space="preserve">level of </w:t>
      </w:r>
      <w:r w:rsidR="009171E6">
        <w:rPr>
          <w:rFonts w:cstheme="minorHAnsi"/>
          <w:kern w:val="0"/>
          <w:lang w:val="en-US"/>
        </w:rPr>
        <w:t>education,</w:t>
      </w:r>
      <w:r w:rsidR="00EF35C0">
        <w:rPr>
          <w:rFonts w:cstheme="minorHAnsi"/>
          <w:kern w:val="0"/>
          <w:lang w:val="en-US"/>
        </w:rPr>
        <w:t xml:space="preserve"> household</w:t>
      </w:r>
      <w:r w:rsidR="009171E6">
        <w:rPr>
          <w:rFonts w:cstheme="minorHAnsi"/>
          <w:kern w:val="0"/>
          <w:lang w:val="en-US"/>
        </w:rPr>
        <w:t xml:space="preserve"> income</w:t>
      </w:r>
      <w:r w:rsidR="00EF35C0">
        <w:rPr>
          <w:rFonts w:cstheme="minorHAnsi"/>
          <w:kern w:val="0"/>
          <w:lang w:val="en-US"/>
        </w:rPr>
        <w:t xml:space="preserve"> (in quintiles)</w:t>
      </w:r>
      <w:r w:rsidR="009171E6">
        <w:rPr>
          <w:rFonts w:cstheme="minorHAnsi"/>
          <w:kern w:val="0"/>
          <w:lang w:val="en-US"/>
        </w:rPr>
        <w:t>,</w:t>
      </w:r>
      <w:r w:rsidR="005452FE">
        <w:rPr>
          <w:rFonts w:cstheme="minorHAnsi"/>
          <w:kern w:val="0"/>
          <w:lang w:val="en-US"/>
        </w:rPr>
        <w:t xml:space="preserve"> relationship status (marital/non-marital/cohabitation)</w:t>
      </w:r>
      <w:r w:rsidR="009171E6">
        <w:rPr>
          <w:rFonts w:cstheme="minorHAnsi"/>
          <w:kern w:val="0"/>
          <w:lang w:val="en-US"/>
        </w:rPr>
        <w:t xml:space="preserve">, </w:t>
      </w:r>
      <w:r>
        <w:rPr>
          <w:rFonts w:cstheme="minorHAnsi"/>
          <w:kern w:val="0"/>
          <w:lang w:val="en-US"/>
        </w:rPr>
        <w:t>children living at home (Yes/No)</w:t>
      </w:r>
      <w:r w:rsidR="00421330">
        <w:rPr>
          <w:rFonts w:cstheme="minorHAnsi"/>
          <w:kern w:val="0"/>
          <w:lang w:val="en-US"/>
        </w:rPr>
        <w:t>, years/month for current</w:t>
      </w:r>
      <w:r w:rsidR="009171E6" w:rsidRPr="00421330">
        <w:rPr>
          <w:rFonts w:cstheme="minorHAnsi"/>
          <w:kern w:val="0"/>
          <w:lang w:val="en-US"/>
        </w:rPr>
        <w:t xml:space="preserve"> emplo</w:t>
      </w:r>
      <w:r w:rsidR="00421330">
        <w:rPr>
          <w:rFonts w:cstheme="minorHAnsi"/>
          <w:kern w:val="0"/>
          <w:lang w:val="en-US"/>
        </w:rPr>
        <w:t>yer</w:t>
      </w:r>
      <w:r w:rsidR="00E86C15">
        <w:rPr>
          <w:rFonts w:cstheme="minorHAnsi"/>
          <w:kern w:val="0"/>
          <w:lang w:val="en-US"/>
        </w:rPr>
        <w:t xml:space="preserve"> and, informal caregiving responsibilities (yes/no)</w:t>
      </w:r>
      <w:r w:rsidR="00421330">
        <w:rPr>
          <w:rFonts w:cstheme="minorHAnsi"/>
          <w:kern w:val="0"/>
          <w:lang w:val="en-US"/>
        </w:rPr>
        <w:t>.</w:t>
      </w:r>
      <w:r w:rsidR="009171E6" w:rsidRPr="00421330">
        <w:rPr>
          <w:rFonts w:cstheme="minorHAnsi"/>
          <w:kern w:val="0"/>
          <w:lang w:val="en-US"/>
        </w:rPr>
        <w:t xml:space="preserve"> </w:t>
      </w:r>
      <w:r w:rsidR="00421330">
        <w:rPr>
          <w:rFonts w:cstheme="minorHAnsi"/>
          <w:kern w:val="0"/>
          <w:lang w:val="en-US"/>
        </w:rPr>
        <w:t>Informal c</w:t>
      </w:r>
      <w:r w:rsidR="00710001" w:rsidRPr="00E40FB0">
        <w:rPr>
          <w:rFonts w:cstheme="minorHAnsi"/>
          <w:kern w:val="0"/>
          <w:lang w:val="en-US"/>
        </w:rPr>
        <w:t>ar</w:t>
      </w:r>
      <w:r w:rsidR="00421330">
        <w:rPr>
          <w:rFonts w:cstheme="minorHAnsi"/>
          <w:kern w:val="0"/>
          <w:lang w:val="en-US"/>
        </w:rPr>
        <w:t>egiving</w:t>
      </w:r>
      <w:r w:rsidR="00710001" w:rsidRPr="00E40FB0">
        <w:rPr>
          <w:rFonts w:cstheme="minorHAnsi"/>
          <w:kern w:val="0"/>
          <w:lang w:val="en-US"/>
        </w:rPr>
        <w:t xml:space="preserve"> </w:t>
      </w:r>
      <w:r w:rsidR="00421330" w:rsidRPr="00E40FB0">
        <w:rPr>
          <w:rFonts w:cstheme="minorHAnsi"/>
          <w:kern w:val="0"/>
          <w:lang w:val="en-US"/>
        </w:rPr>
        <w:t>responsibilities</w:t>
      </w:r>
      <w:r w:rsidR="00710001" w:rsidRPr="00E40FB0">
        <w:rPr>
          <w:rFonts w:cstheme="minorHAnsi"/>
          <w:kern w:val="0"/>
          <w:lang w:val="en-US"/>
        </w:rPr>
        <w:t xml:space="preserve"> encompasses all aspects of caregiving</w:t>
      </w:r>
      <w:r w:rsidR="00833014">
        <w:rPr>
          <w:rFonts w:cstheme="minorHAnsi"/>
          <w:kern w:val="0"/>
          <w:lang w:val="en-US"/>
        </w:rPr>
        <w:t>,</w:t>
      </w:r>
      <w:r w:rsidR="00710001" w:rsidRPr="00E40FB0">
        <w:rPr>
          <w:rFonts w:cstheme="minorHAnsi"/>
          <w:kern w:val="0"/>
          <w:lang w:val="en-US"/>
        </w:rPr>
        <w:t xml:space="preserve"> e.g. personal (e.g. medication and appointments) and emotional care (e.g. worries about </w:t>
      </w:r>
      <w:r w:rsidR="00421330">
        <w:rPr>
          <w:rFonts w:cstheme="minorHAnsi"/>
          <w:kern w:val="0"/>
          <w:lang w:val="en-US"/>
        </w:rPr>
        <w:t xml:space="preserve">relatives </w:t>
      </w:r>
      <w:r w:rsidR="00710001" w:rsidRPr="00E40FB0">
        <w:rPr>
          <w:rFonts w:cstheme="minorHAnsi"/>
          <w:kern w:val="0"/>
          <w:lang w:val="en-US"/>
        </w:rPr>
        <w:t>safety)</w:t>
      </w:r>
      <w:r w:rsidR="00EF35C0">
        <w:rPr>
          <w:rFonts w:cstheme="minorHAnsi"/>
          <w:kern w:val="0"/>
          <w:lang w:val="en-US"/>
        </w:rPr>
        <w:t xml:space="preserve">, and was </w:t>
      </w:r>
      <w:r w:rsidR="00C363A5">
        <w:rPr>
          <w:rFonts w:cstheme="minorHAnsi"/>
          <w:kern w:val="0"/>
          <w:lang w:val="en-US"/>
        </w:rPr>
        <w:t xml:space="preserve">assessed by </w:t>
      </w:r>
      <w:r w:rsidR="00C363A5" w:rsidRPr="00E40FB0">
        <w:rPr>
          <w:rFonts w:cstheme="minorHAnsi"/>
          <w:kern w:val="0"/>
          <w:lang w:val="en-US"/>
        </w:rPr>
        <w:t>hours spending</w:t>
      </w:r>
      <w:r w:rsidR="00C363A5">
        <w:rPr>
          <w:rFonts w:cstheme="minorHAnsi"/>
          <w:kern w:val="0"/>
          <w:lang w:val="en-US"/>
        </w:rPr>
        <w:t xml:space="preserve"> </w:t>
      </w:r>
      <w:r w:rsidR="00EF35C0">
        <w:rPr>
          <w:rFonts w:cstheme="minorHAnsi"/>
          <w:kern w:val="0"/>
          <w:lang w:val="en-US"/>
        </w:rPr>
        <w:t>and,</w:t>
      </w:r>
      <w:r w:rsidR="00710001" w:rsidRPr="00E40FB0">
        <w:rPr>
          <w:rFonts w:cstheme="minorHAnsi"/>
          <w:kern w:val="0"/>
          <w:lang w:val="en-US"/>
        </w:rPr>
        <w:t xml:space="preserve"> if</w:t>
      </w:r>
      <w:r w:rsidR="00B33A2E">
        <w:rPr>
          <w:rFonts w:cstheme="minorHAnsi"/>
          <w:kern w:val="0"/>
          <w:lang w:val="en-US"/>
        </w:rPr>
        <w:t xml:space="preserve"> </w:t>
      </w:r>
      <w:r w:rsidR="00EF35C0">
        <w:rPr>
          <w:rFonts w:cstheme="minorHAnsi"/>
          <w:kern w:val="0"/>
          <w:lang w:val="en-US"/>
        </w:rPr>
        <w:t>the caregiving was</w:t>
      </w:r>
      <w:r w:rsidR="00B33A2E">
        <w:rPr>
          <w:rFonts w:cstheme="minorHAnsi"/>
          <w:kern w:val="0"/>
          <w:lang w:val="en-US"/>
        </w:rPr>
        <w:t xml:space="preserve"> conceived as</w:t>
      </w:r>
      <w:r w:rsidR="00710001" w:rsidRPr="00E40FB0">
        <w:rPr>
          <w:rFonts w:cstheme="minorHAnsi"/>
          <w:kern w:val="0"/>
          <w:lang w:val="en-US"/>
        </w:rPr>
        <w:t xml:space="preserve"> a burd</w:t>
      </w:r>
      <w:r w:rsidR="00B33A2E">
        <w:rPr>
          <w:rFonts w:cstheme="minorHAnsi"/>
          <w:kern w:val="0"/>
          <w:lang w:val="en-US"/>
        </w:rPr>
        <w:t>e</w:t>
      </w:r>
      <w:r w:rsidR="00710001" w:rsidRPr="00E40FB0">
        <w:rPr>
          <w:rFonts w:cstheme="minorHAnsi"/>
          <w:kern w:val="0"/>
          <w:lang w:val="en-US"/>
        </w:rPr>
        <w:t xml:space="preserve">n. </w:t>
      </w:r>
      <w:r w:rsidR="00C363A5">
        <w:rPr>
          <w:rFonts w:cstheme="minorHAnsi"/>
          <w:kern w:val="0"/>
          <w:lang w:val="en-US"/>
        </w:rPr>
        <w:t xml:space="preserve">All of these variables have been found to be important for </w:t>
      </w:r>
      <w:r w:rsidR="00C17E80">
        <w:rPr>
          <w:rFonts w:cstheme="minorHAnsi"/>
          <w:kern w:val="0"/>
          <w:lang w:val="en-US"/>
        </w:rPr>
        <w:t xml:space="preserve">the </w:t>
      </w:r>
      <w:r w:rsidR="00C363A5">
        <w:rPr>
          <w:rFonts w:cstheme="minorHAnsi"/>
          <w:kern w:val="0"/>
          <w:lang w:val="en-US"/>
        </w:rPr>
        <w:t>retirement timing in previous studies (</w:t>
      </w:r>
      <w:r w:rsidR="00C363A5" w:rsidRPr="00C363A5">
        <w:rPr>
          <w:rFonts w:cstheme="minorHAnsi"/>
          <w:kern w:val="0"/>
          <w:highlight w:val="yellow"/>
          <w:lang w:val="en-US"/>
        </w:rPr>
        <w:t>REF</w:t>
      </w:r>
      <w:r w:rsidR="00C363A5">
        <w:rPr>
          <w:rFonts w:cstheme="minorHAnsi"/>
          <w:kern w:val="0"/>
          <w:lang w:val="en-US"/>
        </w:rPr>
        <w:t>).</w:t>
      </w:r>
    </w:p>
    <w:p w14:paraId="5DBF57AE" w14:textId="77777777" w:rsidR="00EA6686" w:rsidRDefault="00EA6686" w:rsidP="00682763">
      <w:pPr>
        <w:autoSpaceDE w:val="0"/>
        <w:autoSpaceDN w:val="0"/>
        <w:adjustRightInd w:val="0"/>
        <w:spacing w:after="0" w:line="360" w:lineRule="auto"/>
        <w:ind w:right="1088"/>
        <w:rPr>
          <w:rFonts w:cstheme="minorHAnsi"/>
          <w:kern w:val="0"/>
          <w:lang w:val="en-US"/>
        </w:rPr>
      </w:pPr>
    </w:p>
    <w:p w14:paraId="046A1AC2" w14:textId="01DEBD9F" w:rsidR="00347BB2" w:rsidRDefault="00BE244E" w:rsidP="002A726E">
      <w:pPr>
        <w:autoSpaceDE w:val="0"/>
        <w:autoSpaceDN w:val="0"/>
        <w:adjustRightInd w:val="0"/>
        <w:spacing w:after="0" w:line="360" w:lineRule="auto"/>
        <w:ind w:left="567" w:right="1088"/>
        <w:rPr>
          <w:rFonts w:cstheme="minorHAnsi"/>
          <w:b/>
          <w:bCs/>
          <w:kern w:val="0"/>
          <w:lang w:val="en-US"/>
        </w:rPr>
      </w:pPr>
      <w:r>
        <w:rPr>
          <w:rFonts w:cstheme="minorHAnsi"/>
          <w:b/>
          <w:bCs/>
          <w:kern w:val="0"/>
          <w:lang w:val="en-US"/>
        </w:rPr>
        <w:t>Statistical</w:t>
      </w:r>
      <w:r w:rsidR="00347BB2" w:rsidRPr="00B9600A">
        <w:rPr>
          <w:rFonts w:cstheme="minorHAnsi"/>
          <w:b/>
          <w:bCs/>
          <w:kern w:val="0"/>
          <w:lang w:val="en-US"/>
        </w:rPr>
        <w:t xml:space="preserve"> analys</w:t>
      </w:r>
      <w:r w:rsidR="00B9600A">
        <w:rPr>
          <w:rFonts w:cstheme="minorHAnsi"/>
          <w:b/>
          <w:bCs/>
          <w:kern w:val="0"/>
          <w:lang w:val="en-US"/>
        </w:rPr>
        <w:t>i</w:t>
      </w:r>
      <w:r w:rsidR="00347BB2" w:rsidRPr="00B9600A">
        <w:rPr>
          <w:rFonts w:cstheme="minorHAnsi"/>
          <w:b/>
          <w:bCs/>
          <w:kern w:val="0"/>
          <w:lang w:val="en-US"/>
        </w:rPr>
        <w:t>s</w:t>
      </w:r>
    </w:p>
    <w:p w14:paraId="4D207181" w14:textId="42E633E4" w:rsidR="00B655AA" w:rsidRDefault="00B655AA" w:rsidP="002A726E">
      <w:pPr>
        <w:autoSpaceDE w:val="0"/>
        <w:autoSpaceDN w:val="0"/>
        <w:adjustRightInd w:val="0"/>
        <w:spacing w:after="0" w:line="360" w:lineRule="auto"/>
        <w:ind w:left="567" w:right="1088"/>
        <w:rPr>
          <w:rFonts w:cstheme="minorHAnsi"/>
          <w:kern w:val="0"/>
          <w:lang w:val="en-US"/>
        </w:rPr>
      </w:pPr>
      <w:r>
        <w:rPr>
          <w:rFonts w:cstheme="minorHAnsi"/>
          <w:kern w:val="0"/>
          <w:lang w:val="en-US"/>
        </w:rPr>
        <w:t xml:space="preserve">Univariate descriptive analyses were performed for all of the </w:t>
      </w:r>
      <w:r w:rsidR="001B3517">
        <w:rPr>
          <w:rFonts w:cstheme="minorHAnsi"/>
          <w:kern w:val="0"/>
          <w:lang w:val="en-US"/>
        </w:rPr>
        <w:t xml:space="preserve">independent </w:t>
      </w:r>
      <w:r>
        <w:rPr>
          <w:rFonts w:cstheme="minorHAnsi"/>
          <w:kern w:val="0"/>
          <w:lang w:val="en-US"/>
        </w:rPr>
        <w:t xml:space="preserve">variables. Continuous variables </w:t>
      </w:r>
      <w:r w:rsidR="001B3517">
        <w:rPr>
          <w:rFonts w:cstheme="minorHAnsi"/>
          <w:kern w:val="0"/>
          <w:lang w:val="en-US"/>
        </w:rPr>
        <w:t xml:space="preserve">were </w:t>
      </w:r>
      <w:r>
        <w:rPr>
          <w:rFonts w:cstheme="minorHAnsi"/>
          <w:kern w:val="0"/>
          <w:lang w:val="en-US"/>
        </w:rPr>
        <w:t xml:space="preserve">reported as Mean (M) and Standard Deviation (SD). Categorical variables were reported as N (%). The normality distribution of continuous variables </w:t>
      </w:r>
      <w:r w:rsidR="001B3517">
        <w:rPr>
          <w:rFonts w:cstheme="minorHAnsi"/>
          <w:kern w:val="0"/>
          <w:lang w:val="en-US"/>
        </w:rPr>
        <w:t>was</w:t>
      </w:r>
      <w:r>
        <w:rPr>
          <w:rFonts w:cstheme="minorHAnsi"/>
          <w:kern w:val="0"/>
          <w:lang w:val="en-US"/>
        </w:rPr>
        <w:t xml:space="preserve"> assessed. Acceptable range of skewness were assessed for </w:t>
      </w:r>
      <w:r w:rsidRPr="00B655AA">
        <w:rPr>
          <w:rFonts w:cstheme="minorHAnsi"/>
          <w:kern w:val="0"/>
          <w:highlight w:val="yellow"/>
          <w:lang w:val="en-US"/>
        </w:rPr>
        <w:t>X variables.</w:t>
      </w:r>
      <w:r>
        <w:rPr>
          <w:rFonts w:cstheme="minorHAnsi"/>
          <w:kern w:val="0"/>
          <w:lang w:val="en-US"/>
        </w:rPr>
        <w:t xml:space="preserve"> To test the bivariate </w:t>
      </w:r>
      <w:r w:rsidR="003D403D">
        <w:rPr>
          <w:rFonts w:cstheme="minorHAnsi"/>
          <w:kern w:val="0"/>
          <w:lang w:val="en-US"/>
        </w:rPr>
        <w:t>association</w:t>
      </w:r>
      <w:r>
        <w:rPr>
          <w:rFonts w:cstheme="minorHAnsi"/>
          <w:kern w:val="0"/>
          <w:lang w:val="en-US"/>
        </w:rPr>
        <w:t xml:space="preserve"> of the subscales with expected retirement age</w:t>
      </w:r>
      <w:r w:rsidR="003D403D">
        <w:rPr>
          <w:rFonts w:cstheme="minorHAnsi"/>
          <w:kern w:val="0"/>
          <w:lang w:val="en-US"/>
        </w:rPr>
        <w:t xml:space="preserve"> we performed Pearson correlations. </w:t>
      </w:r>
    </w:p>
    <w:p w14:paraId="5C6AC925" w14:textId="77777777" w:rsidR="003D403D" w:rsidRDefault="003D403D" w:rsidP="002A726E">
      <w:pPr>
        <w:autoSpaceDE w:val="0"/>
        <w:autoSpaceDN w:val="0"/>
        <w:adjustRightInd w:val="0"/>
        <w:spacing w:after="0" w:line="360" w:lineRule="auto"/>
        <w:ind w:left="567" w:right="1088"/>
        <w:rPr>
          <w:rFonts w:cstheme="minorHAnsi"/>
          <w:kern w:val="0"/>
          <w:lang w:val="en-US"/>
        </w:rPr>
      </w:pPr>
    </w:p>
    <w:p w14:paraId="0C59B74B" w14:textId="568DD0FE" w:rsidR="003D403D" w:rsidRDefault="003D403D" w:rsidP="002A726E">
      <w:pPr>
        <w:autoSpaceDE w:val="0"/>
        <w:autoSpaceDN w:val="0"/>
        <w:adjustRightInd w:val="0"/>
        <w:spacing w:after="0" w:line="360" w:lineRule="auto"/>
        <w:ind w:left="567" w:right="1088"/>
        <w:rPr>
          <w:rFonts w:cstheme="minorHAnsi"/>
          <w:kern w:val="0"/>
          <w:lang w:val="en-US"/>
        </w:rPr>
      </w:pPr>
      <w:r>
        <w:rPr>
          <w:rFonts w:cstheme="minorHAnsi"/>
          <w:kern w:val="0"/>
          <w:lang w:val="en-US"/>
        </w:rPr>
        <w:t xml:space="preserve">For the statistical models, income </w:t>
      </w:r>
      <w:r w:rsidR="001B3517">
        <w:rPr>
          <w:rFonts w:cstheme="minorHAnsi"/>
          <w:kern w:val="0"/>
          <w:lang w:val="en-US"/>
        </w:rPr>
        <w:t>was</w:t>
      </w:r>
      <w:r>
        <w:rPr>
          <w:rFonts w:cstheme="minorHAnsi"/>
          <w:kern w:val="0"/>
          <w:lang w:val="en-US"/>
        </w:rPr>
        <w:t xml:space="preserve"> recoded in quintiles stratified for the sample</w:t>
      </w:r>
      <w:r w:rsidR="001B3517">
        <w:rPr>
          <w:rFonts w:cstheme="minorHAnsi"/>
          <w:kern w:val="0"/>
          <w:lang w:val="en-US"/>
        </w:rPr>
        <w:t xml:space="preserve">. </w:t>
      </w:r>
      <w:r w:rsidR="001B3517" w:rsidRPr="001B3517">
        <w:rPr>
          <w:rFonts w:cstheme="minorHAnsi"/>
          <w:kern w:val="0"/>
          <w:highlight w:val="yellow"/>
          <w:lang w:val="en-US"/>
        </w:rPr>
        <w:t>X v</w:t>
      </w:r>
      <w:r w:rsidR="001B3517">
        <w:rPr>
          <w:rFonts w:cstheme="minorHAnsi"/>
          <w:kern w:val="0"/>
          <w:lang w:val="en-US"/>
        </w:rPr>
        <w:t xml:space="preserve">ariables were collapsed into a dichotomous variable: </w:t>
      </w:r>
      <w:r>
        <w:rPr>
          <w:rFonts w:cstheme="minorHAnsi"/>
          <w:kern w:val="0"/>
          <w:lang w:val="en-US"/>
        </w:rPr>
        <w:t>marital status were recoded into 1=married/cohabitant or 2=single</w:t>
      </w:r>
      <w:r w:rsidR="001B3517">
        <w:rPr>
          <w:rFonts w:cstheme="minorHAnsi"/>
          <w:kern w:val="0"/>
          <w:lang w:val="en-US"/>
        </w:rPr>
        <w:t>;</w:t>
      </w:r>
      <w:r>
        <w:rPr>
          <w:rFonts w:cstheme="minorHAnsi"/>
          <w:kern w:val="0"/>
          <w:lang w:val="en-US"/>
        </w:rPr>
        <w:t xml:space="preserve"> country of birth were recoded into (1=Born in Sweden; 2=born outside Sweden)</w:t>
      </w:r>
      <w:r w:rsidR="001B3517">
        <w:rPr>
          <w:rFonts w:cstheme="minorHAnsi"/>
          <w:kern w:val="0"/>
          <w:lang w:val="en-US"/>
        </w:rPr>
        <w:t xml:space="preserve">. </w:t>
      </w:r>
    </w:p>
    <w:p w14:paraId="3E17EAF4" w14:textId="77777777" w:rsidR="006A35C3" w:rsidRDefault="006A35C3" w:rsidP="002A726E">
      <w:pPr>
        <w:autoSpaceDE w:val="0"/>
        <w:autoSpaceDN w:val="0"/>
        <w:adjustRightInd w:val="0"/>
        <w:spacing w:after="0" w:line="360" w:lineRule="auto"/>
        <w:ind w:left="567" w:right="1088"/>
        <w:rPr>
          <w:rFonts w:cstheme="minorHAnsi"/>
          <w:kern w:val="0"/>
          <w:lang w:val="en-US"/>
        </w:rPr>
      </w:pPr>
    </w:p>
    <w:p w14:paraId="51DE6AC4" w14:textId="198DD807" w:rsidR="006A35C3" w:rsidRPr="00B655AA" w:rsidRDefault="006A35C3" w:rsidP="002A726E">
      <w:pPr>
        <w:autoSpaceDE w:val="0"/>
        <w:autoSpaceDN w:val="0"/>
        <w:adjustRightInd w:val="0"/>
        <w:spacing w:after="0" w:line="360" w:lineRule="auto"/>
        <w:ind w:left="567" w:right="1088"/>
        <w:rPr>
          <w:rFonts w:cstheme="minorHAnsi"/>
          <w:kern w:val="0"/>
          <w:lang w:val="en-US"/>
        </w:rPr>
      </w:pPr>
      <w:r>
        <w:rPr>
          <w:rFonts w:cstheme="minorHAnsi"/>
          <w:kern w:val="0"/>
          <w:lang w:val="en-US"/>
        </w:rPr>
        <w:t xml:space="preserve">To ensure that model assumptions were met we examined the residuals. </w:t>
      </w:r>
    </w:p>
    <w:p w14:paraId="3036A36A" w14:textId="77777777" w:rsidR="00E40FB0" w:rsidRDefault="00E40FB0" w:rsidP="002A726E">
      <w:pPr>
        <w:autoSpaceDE w:val="0"/>
        <w:autoSpaceDN w:val="0"/>
        <w:adjustRightInd w:val="0"/>
        <w:spacing w:after="0" w:line="360" w:lineRule="auto"/>
        <w:ind w:left="567" w:right="1088"/>
        <w:rPr>
          <w:rFonts w:cstheme="minorHAnsi"/>
          <w:b/>
          <w:bCs/>
          <w:kern w:val="0"/>
          <w:lang w:val="en-US"/>
        </w:rPr>
      </w:pPr>
    </w:p>
    <w:p w14:paraId="52343E46" w14:textId="600891A0" w:rsidR="00E40FB0" w:rsidRPr="00B9600A" w:rsidRDefault="0068639E" w:rsidP="002A726E">
      <w:pPr>
        <w:autoSpaceDE w:val="0"/>
        <w:autoSpaceDN w:val="0"/>
        <w:adjustRightInd w:val="0"/>
        <w:spacing w:after="0" w:line="360" w:lineRule="auto"/>
        <w:ind w:left="567" w:right="1088"/>
        <w:rPr>
          <w:rFonts w:cstheme="minorHAnsi"/>
          <w:b/>
          <w:bCs/>
          <w:kern w:val="0"/>
          <w:lang w:val="en-US"/>
        </w:rPr>
      </w:pPr>
      <w:r w:rsidRPr="0068639E">
        <w:rPr>
          <w:rFonts w:cstheme="minorHAnsi"/>
          <w:b/>
          <w:bCs/>
          <w:noProof/>
          <w:kern w:val="0"/>
          <w:lang w:val="en-GB" w:eastAsia="en-GB"/>
        </w:rPr>
        <w:lastRenderedPageBreak/>
        <w:drawing>
          <wp:inline distT="0" distB="0" distL="0" distR="0" wp14:anchorId="43C799D7" wp14:editId="160F47DC">
            <wp:extent cx="5731510" cy="3930650"/>
            <wp:effectExtent l="0" t="0" r="2540" b="0"/>
            <wp:docPr id="411810605" name="Bildobjekt 1" descr="En bild som visar text, diagram, skiss, cirk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10605" name="Bildobjekt 1" descr="En bild som visar text, diagram, skiss, cirkel&#10;&#10;Automatiskt genererad beskrivning"/>
                    <pic:cNvPicPr/>
                  </pic:nvPicPr>
                  <pic:blipFill>
                    <a:blip r:embed="rId8"/>
                    <a:stretch>
                      <a:fillRect/>
                    </a:stretch>
                  </pic:blipFill>
                  <pic:spPr>
                    <a:xfrm>
                      <a:off x="0" y="0"/>
                      <a:ext cx="5731510" cy="3930650"/>
                    </a:xfrm>
                    <a:prstGeom prst="rect">
                      <a:avLst/>
                    </a:prstGeom>
                  </pic:spPr>
                </pic:pic>
              </a:graphicData>
            </a:graphic>
          </wp:inline>
        </w:drawing>
      </w:r>
    </w:p>
    <w:p w14:paraId="7FF94967" w14:textId="77777777" w:rsidR="00E86C15" w:rsidRDefault="00E86C15" w:rsidP="002A726E">
      <w:pPr>
        <w:autoSpaceDE w:val="0"/>
        <w:autoSpaceDN w:val="0"/>
        <w:adjustRightInd w:val="0"/>
        <w:spacing w:after="0" w:line="360" w:lineRule="auto"/>
        <w:ind w:left="567" w:right="1088"/>
        <w:rPr>
          <w:rFonts w:cstheme="minorHAnsi"/>
          <w:kern w:val="0"/>
          <w:highlight w:val="yellow"/>
          <w:lang w:val="en-US"/>
        </w:rPr>
      </w:pPr>
    </w:p>
    <w:p w14:paraId="651273B3" w14:textId="27FA3483" w:rsidR="00F51DC4" w:rsidRDefault="00530665" w:rsidP="002A726E">
      <w:pPr>
        <w:autoSpaceDE w:val="0"/>
        <w:autoSpaceDN w:val="0"/>
        <w:adjustRightInd w:val="0"/>
        <w:spacing w:after="0" w:line="360" w:lineRule="auto"/>
        <w:ind w:left="567" w:right="1088"/>
        <w:rPr>
          <w:rFonts w:cs="Times New Roman"/>
          <w:szCs w:val="24"/>
          <w:shd w:val="clear" w:color="auto" w:fill="FFFFFF"/>
          <w:lang w:val="en-US"/>
        </w:rPr>
      </w:pPr>
      <w:r w:rsidRPr="005D2808">
        <w:rPr>
          <w:rFonts w:cstheme="minorHAnsi"/>
          <w:b/>
          <w:bCs/>
          <w:kern w:val="0"/>
          <w:lang w:val="en-US"/>
        </w:rPr>
        <w:t>Figure 1.</w:t>
      </w:r>
      <w:r>
        <w:rPr>
          <w:rFonts w:cstheme="minorHAnsi"/>
          <w:kern w:val="0"/>
          <w:lang w:val="en-US"/>
        </w:rPr>
        <w:t xml:space="preserve"> </w:t>
      </w:r>
      <w:r>
        <w:rPr>
          <w:rFonts w:cs="Times New Roman"/>
          <w:szCs w:val="24"/>
          <w:shd w:val="clear" w:color="auto" w:fill="FFFFFF"/>
          <w:lang w:val="en-US"/>
        </w:rPr>
        <w:t>A</w:t>
      </w:r>
      <w:r w:rsidRPr="005D2808">
        <w:rPr>
          <w:rFonts w:cs="Times New Roman"/>
          <w:szCs w:val="24"/>
          <w:shd w:val="clear" w:color="auto" w:fill="FFFFFF"/>
          <w:lang w:val="en-US"/>
        </w:rPr>
        <w:t xml:space="preserve"> conceptual model </w:t>
      </w:r>
      <w:r>
        <w:rPr>
          <w:rFonts w:cs="Times New Roman"/>
          <w:szCs w:val="24"/>
          <w:shd w:val="clear" w:color="auto" w:fill="FFFFFF"/>
          <w:lang w:val="en-US"/>
        </w:rPr>
        <w:t>of the proposed association between different demands, resources</w:t>
      </w:r>
      <w:r w:rsidR="00F51DC4">
        <w:rPr>
          <w:rFonts w:cs="Times New Roman"/>
          <w:szCs w:val="24"/>
          <w:shd w:val="clear" w:color="auto" w:fill="FFFFFF"/>
          <w:lang w:val="en-US"/>
        </w:rPr>
        <w:t>, and the potentially moderating role of health and job satisfaction, on the outcome</w:t>
      </w:r>
      <w:r w:rsidR="00F51DC4">
        <w:rPr>
          <w:rFonts w:cs="Times New Roman"/>
          <w:szCs w:val="24"/>
          <w:shd w:val="clear" w:color="auto" w:fill="FFFFFF"/>
          <w:lang w:val="en-US"/>
        </w:rPr>
        <w:t xml:space="preserve"> expected retirement timing</w:t>
      </w:r>
      <w:r w:rsidR="00F51DC4">
        <w:rPr>
          <w:rFonts w:cs="Times New Roman"/>
          <w:szCs w:val="24"/>
          <w:shd w:val="clear" w:color="auto" w:fill="FFFFFF"/>
          <w:lang w:val="en-US"/>
        </w:rPr>
        <w:t xml:space="preserve"> (early or late). </w:t>
      </w:r>
    </w:p>
    <w:p w14:paraId="76D12768" w14:textId="77777777" w:rsidR="00F51DC4" w:rsidRDefault="00F51DC4" w:rsidP="002A726E">
      <w:pPr>
        <w:autoSpaceDE w:val="0"/>
        <w:autoSpaceDN w:val="0"/>
        <w:adjustRightInd w:val="0"/>
        <w:spacing w:after="0" w:line="360" w:lineRule="auto"/>
        <w:ind w:left="567" w:right="1088"/>
        <w:rPr>
          <w:rFonts w:cs="Times New Roman"/>
          <w:szCs w:val="24"/>
          <w:shd w:val="clear" w:color="auto" w:fill="FFFFFF"/>
          <w:lang w:val="en-US"/>
        </w:rPr>
      </w:pPr>
    </w:p>
    <w:p w14:paraId="5C33DECE" w14:textId="623D47E1" w:rsidR="00DF44EF" w:rsidRPr="00223E95" w:rsidRDefault="00DF44EF" w:rsidP="002A726E">
      <w:pPr>
        <w:autoSpaceDE w:val="0"/>
        <w:autoSpaceDN w:val="0"/>
        <w:adjustRightInd w:val="0"/>
        <w:spacing w:after="0" w:line="360" w:lineRule="auto"/>
        <w:ind w:left="567" w:right="1088"/>
        <w:rPr>
          <w:rFonts w:cstheme="minorHAnsi"/>
          <w:b/>
          <w:bCs/>
          <w:kern w:val="0"/>
          <w:lang w:val="en-US"/>
        </w:rPr>
      </w:pPr>
      <w:r w:rsidRPr="00223E95">
        <w:rPr>
          <w:rFonts w:cstheme="minorHAnsi"/>
          <w:b/>
          <w:bCs/>
          <w:kern w:val="0"/>
          <w:lang w:val="en-US"/>
        </w:rPr>
        <w:t>Results</w:t>
      </w:r>
    </w:p>
    <w:p w14:paraId="2A8763C8" w14:textId="2AAEAAC3" w:rsidR="001B3517" w:rsidRPr="00FA3ACC" w:rsidRDefault="001B3517" w:rsidP="00682763">
      <w:pPr>
        <w:autoSpaceDE w:val="0"/>
        <w:autoSpaceDN w:val="0"/>
        <w:adjustRightInd w:val="0"/>
        <w:spacing w:after="0" w:line="360" w:lineRule="auto"/>
        <w:ind w:left="567" w:right="1088"/>
        <w:rPr>
          <w:rFonts w:cstheme="minorHAnsi"/>
          <w:i/>
          <w:iCs/>
          <w:kern w:val="0"/>
          <w:lang w:val="en-US"/>
        </w:rPr>
      </w:pPr>
      <w:r w:rsidRPr="001B3517">
        <w:rPr>
          <w:rFonts w:cstheme="minorHAnsi"/>
          <w:i/>
          <w:iCs/>
          <w:kern w:val="0"/>
          <w:lang w:val="en-US"/>
        </w:rPr>
        <w:t>Participant characteristics</w:t>
      </w:r>
    </w:p>
    <w:p w14:paraId="5297296C" w14:textId="77777777" w:rsidR="00682763" w:rsidRDefault="001B3517" w:rsidP="00682763">
      <w:pPr>
        <w:autoSpaceDE w:val="0"/>
        <w:autoSpaceDN w:val="0"/>
        <w:adjustRightInd w:val="0"/>
        <w:spacing w:after="0" w:line="360" w:lineRule="auto"/>
        <w:ind w:left="567" w:right="1088"/>
        <w:rPr>
          <w:rFonts w:cstheme="minorHAnsi"/>
          <w:i/>
          <w:iCs/>
          <w:kern w:val="0"/>
          <w:lang w:val="en-US"/>
        </w:rPr>
      </w:pPr>
      <w:r>
        <w:rPr>
          <w:rFonts w:cstheme="minorHAnsi"/>
          <w:i/>
          <w:iCs/>
          <w:kern w:val="0"/>
          <w:lang w:val="en-US"/>
        </w:rPr>
        <w:t>Family-work interface</w:t>
      </w:r>
    </w:p>
    <w:p w14:paraId="10373351" w14:textId="02E97E19" w:rsidR="001B3517" w:rsidRDefault="001B3517" w:rsidP="00682763">
      <w:pPr>
        <w:autoSpaceDE w:val="0"/>
        <w:autoSpaceDN w:val="0"/>
        <w:adjustRightInd w:val="0"/>
        <w:spacing w:after="0" w:line="360" w:lineRule="auto"/>
        <w:ind w:left="567" w:right="1088"/>
        <w:rPr>
          <w:rFonts w:cstheme="minorHAnsi"/>
          <w:i/>
          <w:iCs/>
          <w:kern w:val="0"/>
          <w:lang w:val="en-US"/>
        </w:rPr>
      </w:pPr>
      <w:r>
        <w:rPr>
          <w:rFonts w:cstheme="minorHAnsi"/>
          <w:i/>
          <w:iCs/>
          <w:kern w:val="0"/>
          <w:lang w:val="en-US"/>
        </w:rPr>
        <w:t>Health</w:t>
      </w:r>
    </w:p>
    <w:p w14:paraId="2D758F05" w14:textId="257136C0" w:rsidR="001B3517" w:rsidRPr="001B3517" w:rsidRDefault="001B3517" w:rsidP="002A726E">
      <w:pPr>
        <w:autoSpaceDE w:val="0"/>
        <w:autoSpaceDN w:val="0"/>
        <w:adjustRightInd w:val="0"/>
        <w:spacing w:after="0" w:line="360" w:lineRule="auto"/>
        <w:ind w:left="567" w:right="1088"/>
        <w:rPr>
          <w:rFonts w:cstheme="minorHAnsi"/>
          <w:i/>
          <w:iCs/>
          <w:kern w:val="0"/>
          <w:lang w:val="en-US"/>
        </w:rPr>
      </w:pPr>
      <w:r>
        <w:rPr>
          <w:rFonts w:cstheme="minorHAnsi"/>
          <w:i/>
          <w:iCs/>
          <w:kern w:val="0"/>
          <w:lang w:val="en-US"/>
        </w:rPr>
        <w:t xml:space="preserve">Job satisfaction </w:t>
      </w:r>
    </w:p>
    <w:p w14:paraId="1B72AE39" w14:textId="0C1CF1C0" w:rsidR="00DF44EF" w:rsidRPr="00223E95" w:rsidRDefault="003101EB" w:rsidP="003101EB">
      <w:pPr>
        <w:tabs>
          <w:tab w:val="left" w:pos="16207"/>
        </w:tabs>
        <w:autoSpaceDE w:val="0"/>
        <w:autoSpaceDN w:val="0"/>
        <w:adjustRightInd w:val="0"/>
        <w:spacing w:after="0" w:line="360" w:lineRule="auto"/>
        <w:ind w:left="567" w:right="1088"/>
        <w:rPr>
          <w:rFonts w:cstheme="minorHAnsi"/>
          <w:kern w:val="0"/>
          <w:lang w:val="en-US"/>
        </w:rPr>
      </w:pPr>
      <w:r>
        <w:rPr>
          <w:rFonts w:cstheme="minorHAnsi"/>
          <w:kern w:val="0"/>
          <w:lang w:val="en-US"/>
        </w:rPr>
        <w:tab/>
      </w:r>
    </w:p>
    <w:p w14:paraId="19929155" w14:textId="77777777" w:rsidR="00DF44EF" w:rsidRPr="00223E95" w:rsidRDefault="00DF44EF" w:rsidP="002A726E">
      <w:pPr>
        <w:autoSpaceDE w:val="0"/>
        <w:autoSpaceDN w:val="0"/>
        <w:adjustRightInd w:val="0"/>
        <w:spacing w:after="0" w:line="360" w:lineRule="auto"/>
        <w:ind w:left="567" w:right="1088"/>
        <w:rPr>
          <w:rFonts w:cstheme="minorHAnsi"/>
          <w:kern w:val="0"/>
          <w:lang w:val="en-US"/>
        </w:rPr>
      </w:pPr>
    </w:p>
    <w:p w14:paraId="26DE2E71" w14:textId="77777777" w:rsidR="00DF44EF" w:rsidRPr="00D02DA2" w:rsidRDefault="00DF44EF" w:rsidP="002A726E">
      <w:pPr>
        <w:autoSpaceDE w:val="0"/>
        <w:autoSpaceDN w:val="0"/>
        <w:adjustRightInd w:val="0"/>
        <w:spacing w:after="0" w:line="360" w:lineRule="auto"/>
        <w:ind w:left="567" w:right="1088"/>
        <w:rPr>
          <w:rFonts w:cstheme="minorHAnsi"/>
          <w:b/>
          <w:bCs/>
          <w:kern w:val="0"/>
          <w:lang w:val="en-US"/>
        </w:rPr>
      </w:pPr>
      <w:r w:rsidRPr="00D02DA2">
        <w:rPr>
          <w:rFonts w:cstheme="minorHAnsi"/>
          <w:b/>
          <w:bCs/>
          <w:kern w:val="0"/>
          <w:lang w:val="en-US"/>
        </w:rPr>
        <w:t>Discussion</w:t>
      </w:r>
    </w:p>
    <w:p w14:paraId="3DCE7EC5" w14:textId="233B7D32" w:rsidR="00D57A14" w:rsidRPr="00842923" w:rsidRDefault="00D57A14" w:rsidP="00AD03F6">
      <w:pPr>
        <w:autoSpaceDE w:val="0"/>
        <w:autoSpaceDN w:val="0"/>
        <w:adjustRightInd w:val="0"/>
        <w:spacing w:after="0" w:line="360" w:lineRule="auto"/>
        <w:ind w:left="567" w:right="1088"/>
        <w:rPr>
          <w:rFonts w:cstheme="minorHAnsi"/>
          <w:color w:val="FF0000"/>
          <w:kern w:val="0"/>
          <w:lang w:val="en-US"/>
        </w:rPr>
      </w:pPr>
    </w:p>
    <w:p w14:paraId="3A811765" w14:textId="77777777" w:rsidR="00222EDA" w:rsidRPr="00842923" w:rsidRDefault="00222EDA" w:rsidP="00347BB2">
      <w:pPr>
        <w:tabs>
          <w:tab w:val="left" w:pos="11057"/>
        </w:tabs>
        <w:rPr>
          <w:rFonts w:cstheme="minorHAnsi"/>
          <w:lang w:val="en-US"/>
        </w:rPr>
      </w:pPr>
    </w:p>
    <w:p w14:paraId="38535ED3" w14:textId="0D795B89" w:rsidR="006610BB" w:rsidRPr="00842923" w:rsidRDefault="006610BB" w:rsidP="00347BB2">
      <w:pPr>
        <w:tabs>
          <w:tab w:val="left" w:pos="11057"/>
        </w:tabs>
        <w:rPr>
          <w:rFonts w:cstheme="minorHAnsi"/>
          <w:b/>
          <w:bCs/>
          <w:lang w:val="en-US"/>
        </w:rPr>
      </w:pPr>
      <w:r w:rsidRPr="00842923">
        <w:rPr>
          <w:rFonts w:cstheme="minorHAnsi"/>
          <w:b/>
          <w:bCs/>
          <w:lang w:val="en-US"/>
        </w:rPr>
        <w:t>Reference list</w:t>
      </w:r>
    </w:p>
    <w:p w14:paraId="5C280E82" w14:textId="00F2EFAC" w:rsidR="00682763" w:rsidRPr="00682763" w:rsidRDefault="006610BB" w:rsidP="00682763">
      <w:pPr>
        <w:widowControl w:val="0"/>
        <w:autoSpaceDE w:val="0"/>
        <w:autoSpaceDN w:val="0"/>
        <w:adjustRightInd w:val="0"/>
        <w:spacing w:line="240" w:lineRule="auto"/>
        <w:ind w:left="480" w:hanging="480"/>
        <w:rPr>
          <w:rFonts w:ascii="Calibri" w:hAnsi="Calibri" w:cs="Calibri"/>
          <w:noProof/>
          <w:kern w:val="0"/>
          <w:szCs w:val="24"/>
        </w:rPr>
      </w:pPr>
      <w:r>
        <w:rPr>
          <w:rFonts w:cstheme="minorHAnsi"/>
          <w:b/>
          <w:bCs/>
          <w:lang w:val="en-US"/>
        </w:rPr>
        <w:fldChar w:fldCharType="begin" w:fldLock="1"/>
      </w:r>
      <w:r w:rsidRPr="00842923">
        <w:rPr>
          <w:rFonts w:cstheme="minorHAnsi"/>
          <w:b/>
          <w:bCs/>
          <w:lang w:val="en-US"/>
        </w:rPr>
        <w:instrText xml:space="preserve">ADDIN Mendeley Bibliography CSL_BIBLIOGRAPHY </w:instrText>
      </w:r>
      <w:r>
        <w:rPr>
          <w:rFonts w:cstheme="minorHAnsi"/>
          <w:b/>
          <w:bCs/>
          <w:lang w:val="en-US"/>
        </w:rPr>
        <w:fldChar w:fldCharType="separate"/>
      </w:r>
      <w:r w:rsidR="00682763" w:rsidRPr="00682763">
        <w:rPr>
          <w:rFonts w:ascii="Calibri" w:hAnsi="Calibri" w:cs="Calibri"/>
          <w:noProof/>
          <w:kern w:val="0"/>
          <w:szCs w:val="24"/>
        </w:rPr>
        <w:t xml:space="preserve">Amstad, F. T., Meier, L. L., Fasel, U., Elfering, A., &amp; Semmer, N. K. (2011). A Meta-Analysis of Work-Family Conflict and Various Outcomes With a Special Emphasis on Cross-Domain Versus Matching-Domain Relations. </w:t>
      </w:r>
      <w:r w:rsidR="00682763" w:rsidRPr="00682763">
        <w:rPr>
          <w:rFonts w:ascii="Calibri" w:hAnsi="Calibri" w:cs="Calibri"/>
          <w:i/>
          <w:iCs/>
          <w:noProof/>
          <w:kern w:val="0"/>
          <w:szCs w:val="24"/>
        </w:rPr>
        <w:t>Journal of Occupational Health Psychology</w:t>
      </w:r>
      <w:r w:rsidR="00682763" w:rsidRPr="00682763">
        <w:rPr>
          <w:rFonts w:ascii="Calibri" w:hAnsi="Calibri" w:cs="Calibri"/>
          <w:noProof/>
          <w:kern w:val="0"/>
          <w:szCs w:val="24"/>
        </w:rPr>
        <w:t xml:space="preserve">, </w:t>
      </w:r>
      <w:r w:rsidR="00682763" w:rsidRPr="00682763">
        <w:rPr>
          <w:rFonts w:ascii="Calibri" w:hAnsi="Calibri" w:cs="Calibri"/>
          <w:i/>
          <w:iCs/>
          <w:noProof/>
          <w:kern w:val="0"/>
          <w:szCs w:val="24"/>
        </w:rPr>
        <w:t>16</w:t>
      </w:r>
      <w:r w:rsidR="00682763" w:rsidRPr="00682763">
        <w:rPr>
          <w:rFonts w:ascii="Calibri" w:hAnsi="Calibri" w:cs="Calibri"/>
          <w:noProof/>
          <w:kern w:val="0"/>
          <w:szCs w:val="24"/>
        </w:rPr>
        <w:t>(2), 151–169. https://doi.org/10.1037/a0022170</w:t>
      </w:r>
    </w:p>
    <w:p w14:paraId="07C17CFA"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lastRenderedPageBreak/>
        <w:t xml:space="preserve">Bakker, A. B., &amp; Demerouti, E. (2016). Job demands-resources theory: Taking stock and looking forward. </w:t>
      </w:r>
      <w:r w:rsidRPr="00682763">
        <w:rPr>
          <w:rFonts w:ascii="Calibri" w:hAnsi="Calibri" w:cs="Calibri"/>
          <w:i/>
          <w:iCs/>
          <w:noProof/>
          <w:kern w:val="0"/>
          <w:szCs w:val="24"/>
        </w:rPr>
        <w:t>Journal of Occupational Health Psychology</w:t>
      </w:r>
      <w:r w:rsidRPr="00682763">
        <w:rPr>
          <w:rFonts w:ascii="Calibri" w:hAnsi="Calibri" w:cs="Calibri"/>
          <w:noProof/>
          <w:kern w:val="0"/>
          <w:szCs w:val="24"/>
        </w:rPr>
        <w:t xml:space="preserve">, </w:t>
      </w:r>
      <w:r w:rsidRPr="00682763">
        <w:rPr>
          <w:rFonts w:ascii="Calibri" w:hAnsi="Calibri" w:cs="Calibri"/>
          <w:i/>
          <w:iCs/>
          <w:noProof/>
          <w:kern w:val="0"/>
          <w:szCs w:val="24"/>
        </w:rPr>
        <w:t>22</w:t>
      </w:r>
      <w:r w:rsidRPr="00682763">
        <w:rPr>
          <w:rFonts w:ascii="Calibri" w:hAnsi="Calibri" w:cs="Calibri"/>
          <w:noProof/>
          <w:kern w:val="0"/>
          <w:szCs w:val="24"/>
        </w:rPr>
        <w:t>, 273–285. https://doi.org/https://doi.org/10.1037/ocp0000056</w:t>
      </w:r>
    </w:p>
    <w:p w14:paraId="24E43DF1"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Browne, P., Carr, E., Fleischmann, M., Xue, B., &amp; Stansfeld, S. A. (2019). The relationship between workplace psychosocial environment and retirement intentions and actual retirement: A systematic review. </w:t>
      </w:r>
      <w:r w:rsidRPr="00682763">
        <w:rPr>
          <w:rFonts w:ascii="Calibri" w:hAnsi="Calibri" w:cs="Calibri"/>
          <w:i/>
          <w:iCs/>
          <w:noProof/>
          <w:kern w:val="0"/>
          <w:szCs w:val="24"/>
        </w:rPr>
        <w:t>European Journal of Ageing</w:t>
      </w:r>
      <w:r w:rsidRPr="00682763">
        <w:rPr>
          <w:rFonts w:ascii="Calibri" w:hAnsi="Calibri" w:cs="Calibri"/>
          <w:noProof/>
          <w:kern w:val="0"/>
          <w:szCs w:val="24"/>
        </w:rPr>
        <w:t xml:space="preserve">, </w:t>
      </w:r>
      <w:r w:rsidRPr="00682763">
        <w:rPr>
          <w:rFonts w:ascii="Calibri" w:hAnsi="Calibri" w:cs="Calibri"/>
          <w:i/>
          <w:iCs/>
          <w:noProof/>
          <w:kern w:val="0"/>
          <w:szCs w:val="24"/>
        </w:rPr>
        <w:t>16</w:t>
      </w:r>
      <w:r w:rsidRPr="00682763">
        <w:rPr>
          <w:rFonts w:ascii="Calibri" w:hAnsi="Calibri" w:cs="Calibri"/>
          <w:noProof/>
          <w:kern w:val="0"/>
          <w:szCs w:val="24"/>
        </w:rPr>
        <w:t>(1), 73–82. https://doi.org/10.1007/s10433-018-0473-4</w:t>
      </w:r>
    </w:p>
    <w:p w14:paraId="63290617"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Ebener, M., &amp; Hasselhorn, H. M. (2019). Validation of short measures of work ability for research and employee surveys. </w:t>
      </w:r>
      <w:r w:rsidRPr="00682763">
        <w:rPr>
          <w:rFonts w:ascii="Calibri" w:hAnsi="Calibri" w:cs="Calibri"/>
          <w:i/>
          <w:iCs/>
          <w:noProof/>
          <w:kern w:val="0"/>
          <w:szCs w:val="24"/>
        </w:rPr>
        <w:t>International Journal of Environmental Research and Public Health</w:t>
      </w:r>
      <w:r w:rsidRPr="00682763">
        <w:rPr>
          <w:rFonts w:ascii="Calibri" w:hAnsi="Calibri" w:cs="Calibri"/>
          <w:noProof/>
          <w:kern w:val="0"/>
          <w:szCs w:val="24"/>
        </w:rPr>
        <w:t xml:space="preserve">, </w:t>
      </w:r>
      <w:r w:rsidRPr="00682763">
        <w:rPr>
          <w:rFonts w:ascii="Calibri" w:hAnsi="Calibri" w:cs="Calibri"/>
          <w:i/>
          <w:iCs/>
          <w:noProof/>
          <w:kern w:val="0"/>
          <w:szCs w:val="24"/>
        </w:rPr>
        <w:t>16</w:t>
      </w:r>
      <w:r w:rsidRPr="00682763">
        <w:rPr>
          <w:rFonts w:ascii="Calibri" w:hAnsi="Calibri" w:cs="Calibri"/>
          <w:noProof/>
          <w:kern w:val="0"/>
          <w:szCs w:val="24"/>
        </w:rPr>
        <w:t>(18), 1–15. https://doi.org/10.3390/ijerph16183386</w:t>
      </w:r>
    </w:p>
    <w:p w14:paraId="37DB7B65"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Edge, C. E., Cooper, A. M., &amp; Coffey, M. (2017). Barriers and facilitators to extended working lives in Europe: A gender focus. </w:t>
      </w:r>
      <w:r w:rsidRPr="00682763">
        <w:rPr>
          <w:rFonts w:ascii="Calibri" w:hAnsi="Calibri" w:cs="Calibri"/>
          <w:i/>
          <w:iCs/>
          <w:noProof/>
          <w:kern w:val="0"/>
          <w:szCs w:val="24"/>
        </w:rPr>
        <w:t>Public Health Reviews</w:t>
      </w:r>
      <w:r w:rsidRPr="00682763">
        <w:rPr>
          <w:rFonts w:ascii="Calibri" w:hAnsi="Calibri" w:cs="Calibri"/>
          <w:noProof/>
          <w:kern w:val="0"/>
          <w:szCs w:val="24"/>
        </w:rPr>
        <w:t xml:space="preserve">, </w:t>
      </w:r>
      <w:r w:rsidRPr="00682763">
        <w:rPr>
          <w:rFonts w:ascii="Calibri" w:hAnsi="Calibri" w:cs="Calibri"/>
          <w:i/>
          <w:iCs/>
          <w:noProof/>
          <w:kern w:val="0"/>
          <w:szCs w:val="24"/>
        </w:rPr>
        <w:t>38</w:t>
      </w:r>
      <w:r w:rsidRPr="00682763">
        <w:rPr>
          <w:rFonts w:ascii="Calibri" w:hAnsi="Calibri" w:cs="Calibri"/>
          <w:noProof/>
          <w:kern w:val="0"/>
          <w:szCs w:val="24"/>
        </w:rPr>
        <w:t>(1), 1–27. https://doi.org/10.1186/s40985-017-0053-8</w:t>
      </w:r>
    </w:p>
    <w:p w14:paraId="7A199FC3"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Fisher, G. G., Bulger, C. A., &amp; Smith, C. S. (2009). Beyond Work and Family: A Measure of Work/Nonwork Interference and Enhancement. </w:t>
      </w:r>
      <w:r w:rsidRPr="00682763">
        <w:rPr>
          <w:rFonts w:ascii="Calibri" w:hAnsi="Calibri" w:cs="Calibri"/>
          <w:i/>
          <w:iCs/>
          <w:noProof/>
          <w:kern w:val="0"/>
          <w:szCs w:val="24"/>
        </w:rPr>
        <w:t>Journal of Occupational Health Psychology</w:t>
      </w:r>
      <w:r w:rsidRPr="00682763">
        <w:rPr>
          <w:rFonts w:ascii="Calibri" w:hAnsi="Calibri" w:cs="Calibri"/>
          <w:noProof/>
          <w:kern w:val="0"/>
          <w:szCs w:val="24"/>
        </w:rPr>
        <w:t xml:space="preserve">, </w:t>
      </w:r>
      <w:r w:rsidRPr="00682763">
        <w:rPr>
          <w:rFonts w:ascii="Calibri" w:hAnsi="Calibri" w:cs="Calibri"/>
          <w:i/>
          <w:iCs/>
          <w:noProof/>
          <w:kern w:val="0"/>
          <w:szCs w:val="24"/>
        </w:rPr>
        <w:t>14</w:t>
      </w:r>
      <w:r w:rsidRPr="00682763">
        <w:rPr>
          <w:rFonts w:ascii="Calibri" w:hAnsi="Calibri" w:cs="Calibri"/>
          <w:noProof/>
          <w:kern w:val="0"/>
          <w:szCs w:val="24"/>
        </w:rPr>
        <w:t>(4), 441–456. https://doi.org/10.1037/a0016737</w:t>
      </w:r>
    </w:p>
    <w:p w14:paraId="44130662"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Fisher, G. G., Chaffee, D. S., &amp; Sonnega, A. (2016). Retirement timing: A review and recommendations for future research. </w:t>
      </w:r>
      <w:r w:rsidRPr="00682763">
        <w:rPr>
          <w:rFonts w:ascii="Calibri" w:hAnsi="Calibri" w:cs="Calibri"/>
          <w:i/>
          <w:iCs/>
          <w:noProof/>
          <w:kern w:val="0"/>
          <w:szCs w:val="24"/>
        </w:rPr>
        <w:t>Work, Aging and Retirement</w:t>
      </w:r>
      <w:r w:rsidRPr="00682763">
        <w:rPr>
          <w:rFonts w:ascii="Calibri" w:hAnsi="Calibri" w:cs="Calibri"/>
          <w:noProof/>
          <w:kern w:val="0"/>
          <w:szCs w:val="24"/>
        </w:rPr>
        <w:t xml:space="preserve">, </w:t>
      </w:r>
      <w:r w:rsidRPr="00682763">
        <w:rPr>
          <w:rFonts w:ascii="Calibri" w:hAnsi="Calibri" w:cs="Calibri"/>
          <w:i/>
          <w:iCs/>
          <w:noProof/>
          <w:kern w:val="0"/>
          <w:szCs w:val="24"/>
        </w:rPr>
        <w:t>2</w:t>
      </w:r>
      <w:r w:rsidRPr="00682763">
        <w:rPr>
          <w:rFonts w:ascii="Calibri" w:hAnsi="Calibri" w:cs="Calibri"/>
          <w:noProof/>
          <w:kern w:val="0"/>
          <w:szCs w:val="24"/>
        </w:rPr>
        <w:t>(2), 230–261. https://doi.org/10.1093/workar/waw001</w:t>
      </w:r>
    </w:p>
    <w:p w14:paraId="28E8B1E6"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Gyllensten, K., Wentz, K., Håkansson, C., Hagberg, M., &amp; Nilsson, K. (2019). Older assistant nurses’ motivation for a full or extended working life. </w:t>
      </w:r>
      <w:r w:rsidRPr="00682763">
        <w:rPr>
          <w:rFonts w:ascii="Calibri" w:hAnsi="Calibri" w:cs="Calibri"/>
          <w:i/>
          <w:iCs/>
          <w:noProof/>
          <w:kern w:val="0"/>
          <w:szCs w:val="24"/>
        </w:rPr>
        <w:t>Ageing and Society</w:t>
      </w:r>
      <w:r w:rsidRPr="00682763">
        <w:rPr>
          <w:rFonts w:ascii="Calibri" w:hAnsi="Calibri" w:cs="Calibri"/>
          <w:noProof/>
          <w:kern w:val="0"/>
          <w:szCs w:val="24"/>
        </w:rPr>
        <w:t xml:space="preserve">, </w:t>
      </w:r>
      <w:r w:rsidRPr="00682763">
        <w:rPr>
          <w:rFonts w:ascii="Calibri" w:hAnsi="Calibri" w:cs="Calibri"/>
          <w:i/>
          <w:iCs/>
          <w:noProof/>
          <w:kern w:val="0"/>
          <w:szCs w:val="24"/>
        </w:rPr>
        <w:t>39</w:t>
      </w:r>
      <w:r w:rsidRPr="00682763">
        <w:rPr>
          <w:rFonts w:ascii="Calibri" w:hAnsi="Calibri" w:cs="Calibri"/>
          <w:noProof/>
          <w:kern w:val="0"/>
          <w:szCs w:val="24"/>
        </w:rPr>
        <w:t>(12), 2699–2713. https://doi.org/10.1017/S0144686X18000740</w:t>
      </w:r>
    </w:p>
    <w:p w14:paraId="01FD854C"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Hart, A., Bowman, D., &amp; Mallett, S. (2020). Scheduling longer working lives for older aged care workers: A time and income capability approach. </w:t>
      </w:r>
      <w:r w:rsidRPr="00682763">
        <w:rPr>
          <w:rFonts w:ascii="Calibri" w:hAnsi="Calibri" w:cs="Calibri"/>
          <w:i/>
          <w:iCs/>
          <w:noProof/>
          <w:kern w:val="0"/>
          <w:szCs w:val="24"/>
        </w:rPr>
        <w:t>Time and Society</w:t>
      </w:r>
      <w:r w:rsidRPr="00682763">
        <w:rPr>
          <w:rFonts w:ascii="Calibri" w:hAnsi="Calibri" w:cs="Calibri"/>
          <w:noProof/>
          <w:kern w:val="0"/>
          <w:szCs w:val="24"/>
        </w:rPr>
        <w:t xml:space="preserve">, </w:t>
      </w:r>
      <w:r w:rsidRPr="00682763">
        <w:rPr>
          <w:rFonts w:ascii="Calibri" w:hAnsi="Calibri" w:cs="Calibri"/>
          <w:i/>
          <w:iCs/>
          <w:noProof/>
          <w:kern w:val="0"/>
          <w:szCs w:val="24"/>
        </w:rPr>
        <w:t>29</w:t>
      </w:r>
      <w:r w:rsidRPr="00682763">
        <w:rPr>
          <w:rFonts w:ascii="Calibri" w:hAnsi="Calibri" w:cs="Calibri"/>
          <w:noProof/>
          <w:kern w:val="0"/>
          <w:szCs w:val="24"/>
        </w:rPr>
        <w:t>(4), 945–965. https://doi.org/10.1177/0961463X20914099</w:t>
      </w:r>
    </w:p>
    <w:p w14:paraId="75EF65AF"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Hyde, M., Ferrie, J., Higgs, P., Mein, G., &amp; Nazroo, J. (2004). The effects of pre-retirement factors and retirement route on circumstances in retirement: Findings from the Whitehall II study. </w:t>
      </w:r>
      <w:r w:rsidRPr="00682763">
        <w:rPr>
          <w:rFonts w:ascii="Calibri" w:hAnsi="Calibri" w:cs="Calibri"/>
          <w:i/>
          <w:iCs/>
          <w:noProof/>
          <w:kern w:val="0"/>
          <w:szCs w:val="24"/>
        </w:rPr>
        <w:t>Ageing and Society</w:t>
      </w:r>
      <w:r w:rsidRPr="00682763">
        <w:rPr>
          <w:rFonts w:ascii="Calibri" w:hAnsi="Calibri" w:cs="Calibri"/>
          <w:noProof/>
          <w:kern w:val="0"/>
          <w:szCs w:val="24"/>
        </w:rPr>
        <w:t xml:space="preserve">, </w:t>
      </w:r>
      <w:r w:rsidRPr="00682763">
        <w:rPr>
          <w:rFonts w:ascii="Calibri" w:hAnsi="Calibri" w:cs="Calibri"/>
          <w:i/>
          <w:iCs/>
          <w:noProof/>
          <w:kern w:val="0"/>
          <w:szCs w:val="24"/>
        </w:rPr>
        <w:t>24</w:t>
      </w:r>
      <w:r w:rsidRPr="00682763">
        <w:rPr>
          <w:rFonts w:ascii="Calibri" w:hAnsi="Calibri" w:cs="Calibri"/>
          <w:noProof/>
          <w:kern w:val="0"/>
          <w:szCs w:val="24"/>
        </w:rPr>
        <w:t>(2), 279–296. https://doi.org/10.1017/S0144686X03001624</w:t>
      </w:r>
    </w:p>
    <w:p w14:paraId="7C1CE9CD"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ISF. (2023). </w:t>
      </w:r>
      <w:r w:rsidRPr="00682763">
        <w:rPr>
          <w:rFonts w:ascii="Calibri" w:hAnsi="Calibri" w:cs="Calibri"/>
          <w:i/>
          <w:iCs/>
          <w:noProof/>
          <w:kern w:val="0"/>
          <w:szCs w:val="24"/>
        </w:rPr>
        <w:t>Höjda åldersgränser i pensionssystemet. En analys av hur 2020 års höjning av LAS-åldern och lägsta pensionsåldern påverkade försörjning och pensionering</w:t>
      </w:r>
      <w:r w:rsidRPr="00682763">
        <w:rPr>
          <w:rFonts w:ascii="Calibri" w:hAnsi="Calibri" w:cs="Calibri"/>
          <w:noProof/>
          <w:kern w:val="0"/>
          <w:szCs w:val="24"/>
        </w:rPr>
        <w:t>.</w:t>
      </w:r>
    </w:p>
    <w:p w14:paraId="7C425EB8"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Lilly, M. B., Laporte, A., &amp; Coyte, P. C. (2007). Labor market work and home care’s unpaid caregivers: A systematic review of labor force participation rates, predictors of labor market withdrawal, and hours of work. </w:t>
      </w:r>
      <w:r w:rsidRPr="00682763">
        <w:rPr>
          <w:rFonts w:ascii="Calibri" w:hAnsi="Calibri" w:cs="Calibri"/>
          <w:i/>
          <w:iCs/>
          <w:noProof/>
          <w:kern w:val="0"/>
          <w:szCs w:val="24"/>
        </w:rPr>
        <w:t>Milbank Quarterly</w:t>
      </w:r>
      <w:r w:rsidRPr="00682763">
        <w:rPr>
          <w:rFonts w:ascii="Calibri" w:hAnsi="Calibri" w:cs="Calibri"/>
          <w:noProof/>
          <w:kern w:val="0"/>
          <w:szCs w:val="24"/>
        </w:rPr>
        <w:t xml:space="preserve">, </w:t>
      </w:r>
      <w:r w:rsidRPr="00682763">
        <w:rPr>
          <w:rFonts w:ascii="Calibri" w:hAnsi="Calibri" w:cs="Calibri"/>
          <w:i/>
          <w:iCs/>
          <w:noProof/>
          <w:kern w:val="0"/>
          <w:szCs w:val="24"/>
        </w:rPr>
        <w:t>85</w:t>
      </w:r>
      <w:r w:rsidRPr="00682763">
        <w:rPr>
          <w:rFonts w:ascii="Calibri" w:hAnsi="Calibri" w:cs="Calibri"/>
          <w:noProof/>
          <w:kern w:val="0"/>
          <w:szCs w:val="24"/>
        </w:rPr>
        <w:t>(4), 641–690. https://doi.org/10.1111/j.1468-0009.2007.00504.x</w:t>
      </w:r>
    </w:p>
    <w:p w14:paraId="1938C5C9"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Mäcken, J., Merkel, S., Heß, M., Hilbert, J., &amp; Naegele, G. (2019). Transition to retirement in the healthcare sector: Working conditions and attitudes of older workers. </w:t>
      </w:r>
      <w:r w:rsidRPr="00682763">
        <w:rPr>
          <w:rFonts w:ascii="Calibri" w:hAnsi="Calibri" w:cs="Calibri"/>
          <w:i/>
          <w:iCs/>
          <w:noProof/>
          <w:kern w:val="0"/>
          <w:szCs w:val="24"/>
        </w:rPr>
        <w:t>Zeitschrift Fur Gerontologie Und Geriatrie</w:t>
      </w:r>
      <w:r w:rsidRPr="00682763">
        <w:rPr>
          <w:rFonts w:ascii="Calibri" w:hAnsi="Calibri" w:cs="Calibri"/>
          <w:noProof/>
          <w:kern w:val="0"/>
          <w:szCs w:val="24"/>
        </w:rPr>
        <w:t xml:space="preserve">, </w:t>
      </w:r>
      <w:r w:rsidRPr="00682763">
        <w:rPr>
          <w:rFonts w:ascii="Calibri" w:hAnsi="Calibri" w:cs="Calibri"/>
          <w:i/>
          <w:iCs/>
          <w:noProof/>
          <w:kern w:val="0"/>
          <w:szCs w:val="24"/>
        </w:rPr>
        <w:t>52</w:t>
      </w:r>
      <w:r w:rsidRPr="00682763">
        <w:rPr>
          <w:rFonts w:ascii="Calibri" w:hAnsi="Calibri" w:cs="Calibri"/>
          <w:noProof/>
          <w:kern w:val="0"/>
          <w:szCs w:val="24"/>
        </w:rPr>
        <w:t>, 25–31. https://doi.org/10.1007/s00391-018-1452-2</w:t>
      </w:r>
    </w:p>
    <w:p w14:paraId="32087D1F"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Magnusson Hanson, L. L., Leineweber, C., Persson, V., Hyde, M., Theorell, T., &amp; Westerlund, H. (2018). Cohort profile: The Swedish longitudinal occupational survey of health (SLOSH). </w:t>
      </w:r>
      <w:r w:rsidRPr="00682763">
        <w:rPr>
          <w:rFonts w:ascii="Calibri" w:hAnsi="Calibri" w:cs="Calibri"/>
          <w:i/>
          <w:iCs/>
          <w:noProof/>
          <w:kern w:val="0"/>
          <w:szCs w:val="24"/>
        </w:rPr>
        <w:t>International Journal of Epidemiology</w:t>
      </w:r>
      <w:r w:rsidRPr="00682763">
        <w:rPr>
          <w:rFonts w:ascii="Calibri" w:hAnsi="Calibri" w:cs="Calibri"/>
          <w:noProof/>
          <w:kern w:val="0"/>
          <w:szCs w:val="24"/>
        </w:rPr>
        <w:t xml:space="preserve">, </w:t>
      </w:r>
      <w:r w:rsidRPr="00682763">
        <w:rPr>
          <w:rFonts w:ascii="Calibri" w:hAnsi="Calibri" w:cs="Calibri"/>
          <w:i/>
          <w:iCs/>
          <w:noProof/>
          <w:kern w:val="0"/>
          <w:szCs w:val="24"/>
        </w:rPr>
        <w:t>47</w:t>
      </w:r>
      <w:r w:rsidRPr="00682763">
        <w:rPr>
          <w:rFonts w:ascii="Calibri" w:hAnsi="Calibri" w:cs="Calibri"/>
          <w:noProof/>
          <w:kern w:val="0"/>
          <w:szCs w:val="24"/>
        </w:rPr>
        <w:t>(3), 691-692I. https://doi.org/10.1093/ije/dyx260</w:t>
      </w:r>
    </w:p>
    <w:p w14:paraId="0AB4E495"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Matthews, A. R., &amp; Fisher, G. G. (2012). Family, work and the retirement process: A review and new directions. In </w:t>
      </w:r>
      <w:r w:rsidRPr="00682763">
        <w:rPr>
          <w:rFonts w:ascii="Calibri" w:hAnsi="Calibri" w:cs="Calibri"/>
          <w:i/>
          <w:iCs/>
          <w:noProof/>
          <w:kern w:val="0"/>
          <w:szCs w:val="24"/>
        </w:rPr>
        <w:t>M. Wang (Ed.) The Oxford handbook of retirement</w:t>
      </w:r>
      <w:r w:rsidRPr="00682763">
        <w:rPr>
          <w:rFonts w:ascii="Calibri" w:hAnsi="Calibri" w:cs="Calibri"/>
          <w:noProof/>
          <w:kern w:val="0"/>
          <w:szCs w:val="24"/>
        </w:rPr>
        <w:t xml:space="preserve"> (pp. 354–370). Oxford University Press USA.</w:t>
      </w:r>
    </w:p>
    <w:p w14:paraId="58B1E532"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lastRenderedPageBreak/>
        <w:t xml:space="preserve">Meagher, G., &amp; Szebehely, M. (2017). Long-Term Care in Sweden : Trends , Actors , and Consequences. In </w:t>
      </w:r>
      <w:r w:rsidRPr="00682763">
        <w:rPr>
          <w:rFonts w:ascii="Calibri" w:hAnsi="Calibri" w:cs="Calibri"/>
          <w:i/>
          <w:iCs/>
          <w:noProof/>
          <w:kern w:val="0"/>
          <w:szCs w:val="24"/>
        </w:rPr>
        <w:t>C. Ranci and E. Pavolini (Eds), Reforms in Long-Term Care Policies in Europe</w:t>
      </w:r>
      <w:r w:rsidRPr="00682763">
        <w:rPr>
          <w:rFonts w:ascii="Calibri" w:hAnsi="Calibri" w:cs="Calibri"/>
          <w:noProof/>
          <w:kern w:val="0"/>
          <w:szCs w:val="24"/>
        </w:rPr>
        <w:t xml:space="preserve"> (Issue November). Springer. https://doi.org/10.1007/978-1-4614-4502-9</w:t>
      </w:r>
    </w:p>
    <w:p w14:paraId="3BB28A6D"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Meinow, B., Wastesson, J. W., Kåreholt, I., &amp; Kelfve, S. (2020). Long-Term Care Use During the Last 2 Years of Life in Sweden: Implications for Policy to Address Increased Population Aging. </w:t>
      </w:r>
      <w:r w:rsidRPr="00682763">
        <w:rPr>
          <w:rFonts w:ascii="Calibri" w:hAnsi="Calibri" w:cs="Calibri"/>
          <w:i/>
          <w:iCs/>
          <w:noProof/>
          <w:kern w:val="0"/>
          <w:szCs w:val="24"/>
        </w:rPr>
        <w:t>Journal of the American Medical Directors Association</w:t>
      </w:r>
      <w:r w:rsidRPr="00682763">
        <w:rPr>
          <w:rFonts w:ascii="Calibri" w:hAnsi="Calibri" w:cs="Calibri"/>
          <w:noProof/>
          <w:kern w:val="0"/>
          <w:szCs w:val="24"/>
        </w:rPr>
        <w:t xml:space="preserve">, </w:t>
      </w:r>
      <w:r w:rsidRPr="00682763">
        <w:rPr>
          <w:rFonts w:ascii="Calibri" w:hAnsi="Calibri" w:cs="Calibri"/>
          <w:i/>
          <w:iCs/>
          <w:noProof/>
          <w:kern w:val="0"/>
          <w:szCs w:val="24"/>
        </w:rPr>
        <w:t>21</w:t>
      </w:r>
      <w:r w:rsidRPr="00682763">
        <w:rPr>
          <w:rFonts w:ascii="Calibri" w:hAnsi="Calibri" w:cs="Calibri"/>
          <w:noProof/>
          <w:kern w:val="0"/>
          <w:szCs w:val="24"/>
        </w:rPr>
        <w:t>(6), 799–805. https://doi.org/10.1016/j.jamda.2020.01.003</w:t>
      </w:r>
    </w:p>
    <w:p w14:paraId="4B755A94"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Nordlinder, C., Bergström, G., Tham, P., &amp; Öberg, P. (2024). Individual, family, job, and organizational factors associated with retirement intentions among older long-term care workers: A systematic review. </w:t>
      </w:r>
      <w:r w:rsidRPr="00682763">
        <w:rPr>
          <w:rFonts w:ascii="Calibri" w:hAnsi="Calibri" w:cs="Calibri"/>
          <w:i/>
          <w:iCs/>
          <w:noProof/>
          <w:kern w:val="0"/>
          <w:szCs w:val="24"/>
        </w:rPr>
        <w:t>Geriatric Nursing</w:t>
      </w:r>
      <w:r w:rsidRPr="00682763">
        <w:rPr>
          <w:rFonts w:ascii="Calibri" w:hAnsi="Calibri" w:cs="Calibri"/>
          <w:noProof/>
          <w:kern w:val="0"/>
          <w:szCs w:val="24"/>
        </w:rPr>
        <w:t xml:space="preserve">, </w:t>
      </w:r>
      <w:r w:rsidRPr="00682763">
        <w:rPr>
          <w:rFonts w:ascii="Calibri" w:hAnsi="Calibri" w:cs="Calibri"/>
          <w:i/>
          <w:iCs/>
          <w:noProof/>
          <w:kern w:val="0"/>
          <w:szCs w:val="24"/>
        </w:rPr>
        <w:t>56</w:t>
      </w:r>
      <w:r w:rsidRPr="00682763">
        <w:rPr>
          <w:rFonts w:ascii="Calibri" w:hAnsi="Calibri" w:cs="Calibri"/>
          <w:noProof/>
          <w:kern w:val="0"/>
          <w:szCs w:val="24"/>
        </w:rPr>
        <w:t>, 83–93. https://doi.org/10.1016/j.gerinurse.2024.01.005</w:t>
      </w:r>
    </w:p>
    <w:p w14:paraId="7020B794"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OECD. (2019). </w:t>
      </w:r>
      <w:r w:rsidRPr="00682763">
        <w:rPr>
          <w:rFonts w:ascii="Calibri" w:hAnsi="Calibri" w:cs="Calibri"/>
          <w:i/>
          <w:iCs/>
          <w:noProof/>
          <w:kern w:val="0"/>
          <w:szCs w:val="24"/>
        </w:rPr>
        <w:t>Pensions at a glance 2019: OECD and G20 Indicators</w:t>
      </w:r>
      <w:r w:rsidRPr="00682763">
        <w:rPr>
          <w:rFonts w:ascii="Calibri" w:hAnsi="Calibri" w:cs="Calibri"/>
          <w:noProof/>
          <w:kern w:val="0"/>
          <w:szCs w:val="24"/>
        </w:rPr>
        <w:t>. OECD Publishing. https://doi.org/https://doi.org/10.1787/b6d3dcfc-en.</w:t>
      </w:r>
    </w:p>
    <w:p w14:paraId="322FA479"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OECD. (2020a). </w:t>
      </w:r>
      <w:r w:rsidRPr="00682763">
        <w:rPr>
          <w:rFonts w:ascii="Calibri" w:hAnsi="Calibri" w:cs="Calibri"/>
          <w:i/>
          <w:iCs/>
          <w:noProof/>
          <w:kern w:val="0"/>
          <w:szCs w:val="24"/>
        </w:rPr>
        <w:t>Promoting an Age‐Inclusive Workforce: Living, Learning, and Earning Longer</w:t>
      </w:r>
      <w:r w:rsidRPr="00682763">
        <w:rPr>
          <w:rFonts w:ascii="Calibri" w:hAnsi="Calibri" w:cs="Calibri"/>
          <w:noProof/>
          <w:kern w:val="0"/>
          <w:szCs w:val="24"/>
        </w:rPr>
        <w:t>. OECD Publishing. https://doi.org/10.1787/59752153-en</w:t>
      </w:r>
    </w:p>
    <w:p w14:paraId="68C58B99"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OECD. (2020b). </w:t>
      </w:r>
      <w:r w:rsidRPr="00682763">
        <w:rPr>
          <w:rFonts w:ascii="Calibri" w:hAnsi="Calibri" w:cs="Calibri"/>
          <w:i/>
          <w:iCs/>
          <w:noProof/>
          <w:kern w:val="0"/>
          <w:szCs w:val="24"/>
        </w:rPr>
        <w:t>Who cares? Attracting and retaining elderly care workers</w:t>
      </w:r>
      <w:r w:rsidRPr="00682763">
        <w:rPr>
          <w:rFonts w:ascii="Calibri" w:hAnsi="Calibri" w:cs="Calibri"/>
          <w:noProof/>
          <w:kern w:val="0"/>
          <w:szCs w:val="24"/>
        </w:rPr>
        <w:t>. https://www.oecd-ilibrary.org/social-issues-migration-health/who-cares-attracting-and-retaining-elderly-care-workers_92c0ef68-en</w:t>
      </w:r>
    </w:p>
    <w:p w14:paraId="7D895E05"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OECD. (2021). </w:t>
      </w:r>
      <w:r w:rsidRPr="00682763">
        <w:rPr>
          <w:rFonts w:ascii="Calibri" w:hAnsi="Calibri" w:cs="Calibri"/>
          <w:i/>
          <w:iCs/>
          <w:noProof/>
          <w:kern w:val="0"/>
          <w:szCs w:val="24"/>
        </w:rPr>
        <w:t>Health at a glance 2021: OECD indicators. Long-term care workers</w:t>
      </w:r>
      <w:r w:rsidRPr="00682763">
        <w:rPr>
          <w:rFonts w:ascii="Calibri" w:hAnsi="Calibri" w:cs="Calibri"/>
          <w:noProof/>
          <w:kern w:val="0"/>
          <w:szCs w:val="24"/>
        </w:rPr>
        <w:t>. Https://Www.Oecd-Ilibrary.Org/Sites/Ae3016b9-En/1/3/10/8/Index.Html?ItemId=/Content/Publication/Ae3016b9-En&amp;_csp_=ca413da5d44587bc56446341952c275e&amp;itemIGO=oecd&amp;itemContentType=book&amp;_ga=2.256674699.1624705834.1636530976-344835335.1623674213 (Retrieved 2021.</w:t>
      </w:r>
    </w:p>
    <w:p w14:paraId="19E8E62C"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Sacco, L. B., König, S., Westerlund, H., &amp; Platts, L. G. (2022). Informal Caregiving and Quality of Life Among Older Adults: Prospective Analyses from the Swedish Longitudinal Occupational Survey of Health (SLOSH). </w:t>
      </w:r>
      <w:r w:rsidRPr="00682763">
        <w:rPr>
          <w:rFonts w:ascii="Calibri" w:hAnsi="Calibri" w:cs="Calibri"/>
          <w:i/>
          <w:iCs/>
          <w:noProof/>
          <w:kern w:val="0"/>
          <w:szCs w:val="24"/>
        </w:rPr>
        <w:t>Social Indicators Research</w:t>
      </w:r>
      <w:r w:rsidRPr="00682763">
        <w:rPr>
          <w:rFonts w:ascii="Calibri" w:hAnsi="Calibri" w:cs="Calibri"/>
          <w:noProof/>
          <w:kern w:val="0"/>
          <w:szCs w:val="24"/>
        </w:rPr>
        <w:t xml:space="preserve">, </w:t>
      </w:r>
      <w:r w:rsidRPr="00682763">
        <w:rPr>
          <w:rFonts w:ascii="Calibri" w:hAnsi="Calibri" w:cs="Calibri"/>
          <w:i/>
          <w:iCs/>
          <w:noProof/>
          <w:kern w:val="0"/>
          <w:szCs w:val="24"/>
        </w:rPr>
        <w:t>160</w:t>
      </w:r>
      <w:r w:rsidRPr="00682763">
        <w:rPr>
          <w:rFonts w:ascii="Calibri" w:hAnsi="Calibri" w:cs="Calibri"/>
          <w:noProof/>
          <w:kern w:val="0"/>
          <w:szCs w:val="24"/>
        </w:rPr>
        <w:t>(2–3), 845–866. https://doi.org/10.1007/s11205-020-02473-x</w:t>
      </w:r>
    </w:p>
    <w:p w14:paraId="16D2DF4F"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SCB. (2020). </w:t>
      </w:r>
      <w:r w:rsidRPr="00682763">
        <w:rPr>
          <w:rFonts w:ascii="Calibri" w:hAnsi="Calibri" w:cs="Calibri"/>
          <w:i/>
          <w:iCs/>
          <w:noProof/>
          <w:kern w:val="0"/>
          <w:szCs w:val="24"/>
        </w:rPr>
        <w:t>Trender och Prognoser 2020. Arbetsmarknad, Befolkning Utbildning - Med sikte på år 2035</w:t>
      </w:r>
      <w:r w:rsidRPr="00682763">
        <w:rPr>
          <w:rFonts w:ascii="Calibri" w:hAnsi="Calibri" w:cs="Calibri"/>
          <w:noProof/>
          <w:kern w:val="0"/>
          <w:szCs w:val="24"/>
        </w:rPr>
        <w:t>.</w:t>
      </w:r>
    </w:p>
    <w:p w14:paraId="32CD8B74"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Sejbaek, C., Nexo, M., &amp; Borg, V. (2013). Work-related factors and early retirement intention: A study of the Danish eldercare sector. </w:t>
      </w:r>
      <w:r w:rsidRPr="00682763">
        <w:rPr>
          <w:rFonts w:ascii="Calibri" w:hAnsi="Calibri" w:cs="Calibri"/>
          <w:i/>
          <w:iCs/>
          <w:noProof/>
          <w:kern w:val="0"/>
          <w:szCs w:val="24"/>
        </w:rPr>
        <w:t>European Journal of Public Health</w:t>
      </w:r>
      <w:r w:rsidRPr="00682763">
        <w:rPr>
          <w:rFonts w:ascii="Calibri" w:hAnsi="Calibri" w:cs="Calibri"/>
          <w:noProof/>
          <w:kern w:val="0"/>
          <w:szCs w:val="24"/>
        </w:rPr>
        <w:t xml:space="preserve">, </w:t>
      </w:r>
      <w:r w:rsidRPr="00682763">
        <w:rPr>
          <w:rFonts w:ascii="Calibri" w:hAnsi="Calibri" w:cs="Calibri"/>
          <w:i/>
          <w:iCs/>
          <w:noProof/>
          <w:kern w:val="0"/>
          <w:szCs w:val="24"/>
        </w:rPr>
        <w:t>23</w:t>
      </w:r>
      <w:r w:rsidRPr="00682763">
        <w:rPr>
          <w:rFonts w:ascii="Calibri" w:hAnsi="Calibri" w:cs="Calibri"/>
          <w:noProof/>
          <w:kern w:val="0"/>
          <w:szCs w:val="24"/>
        </w:rPr>
        <w:t>(4), 611–616. https://doi.org/10.1093/eurpub/cks117</w:t>
      </w:r>
    </w:p>
    <w:p w14:paraId="126BABFF"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Shacklock, K., Brunetto, Y., &amp; Nelson, S. (2009). The different variables that affect older males’ and females’ intentions to continue working. </w:t>
      </w:r>
      <w:r w:rsidRPr="00682763">
        <w:rPr>
          <w:rFonts w:ascii="Calibri" w:hAnsi="Calibri" w:cs="Calibri"/>
          <w:i/>
          <w:iCs/>
          <w:noProof/>
          <w:kern w:val="0"/>
          <w:szCs w:val="24"/>
        </w:rPr>
        <w:t>Asia Pacific Journal of Human Resources</w:t>
      </w:r>
      <w:r w:rsidRPr="00682763">
        <w:rPr>
          <w:rFonts w:ascii="Calibri" w:hAnsi="Calibri" w:cs="Calibri"/>
          <w:noProof/>
          <w:kern w:val="0"/>
          <w:szCs w:val="24"/>
        </w:rPr>
        <w:t xml:space="preserve">, </w:t>
      </w:r>
      <w:r w:rsidRPr="00682763">
        <w:rPr>
          <w:rFonts w:ascii="Calibri" w:hAnsi="Calibri" w:cs="Calibri"/>
          <w:i/>
          <w:iCs/>
          <w:noProof/>
          <w:kern w:val="0"/>
          <w:szCs w:val="24"/>
        </w:rPr>
        <w:t>47</w:t>
      </w:r>
      <w:r w:rsidRPr="00682763">
        <w:rPr>
          <w:rFonts w:ascii="Calibri" w:hAnsi="Calibri" w:cs="Calibri"/>
          <w:noProof/>
          <w:kern w:val="0"/>
          <w:szCs w:val="24"/>
        </w:rPr>
        <w:t>(1), 79–101. https://doi.org/10.1177/1038411108099291</w:t>
      </w:r>
    </w:p>
    <w:p w14:paraId="47B21AB8"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Simonazzi, A. (2009). </w:t>
      </w:r>
      <w:r w:rsidRPr="00682763">
        <w:rPr>
          <w:rFonts w:ascii="Calibri" w:hAnsi="Calibri" w:cs="Calibri"/>
          <w:i/>
          <w:iCs/>
          <w:noProof/>
          <w:kern w:val="0"/>
          <w:szCs w:val="24"/>
        </w:rPr>
        <w:t>Care regimes and national employment models</w:t>
      </w:r>
      <w:r w:rsidRPr="00682763">
        <w:rPr>
          <w:rFonts w:ascii="Calibri" w:hAnsi="Calibri" w:cs="Calibri"/>
          <w:noProof/>
          <w:kern w:val="0"/>
          <w:szCs w:val="24"/>
        </w:rPr>
        <w:t xml:space="preserve">. </w:t>
      </w:r>
      <w:r w:rsidRPr="00682763">
        <w:rPr>
          <w:rFonts w:ascii="Calibri" w:hAnsi="Calibri" w:cs="Calibri"/>
          <w:i/>
          <w:iCs/>
          <w:noProof/>
          <w:kern w:val="0"/>
          <w:szCs w:val="24"/>
        </w:rPr>
        <w:t>November 2008</w:t>
      </w:r>
      <w:r w:rsidRPr="00682763">
        <w:rPr>
          <w:rFonts w:ascii="Calibri" w:hAnsi="Calibri" w:cs="Calibri"/>
          <w:noProof/>
          <w:kern w:val="0"/>
          <w:szCs w:val="24"/>
        </w:rPr>
        <w:t>, 211–232. https://doi.org/10.1093/cje/ben043</w:t>
      </w:r>
    </w:p>
    <w:p w14:paraId="16B7F0D1"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SKR. (2019). </w:t>
      </w:r>
      <w:r w:rsidRPr="00682763">
        <w:rPr>
          <w:rFonts w:ascii="Calibri" w:hAnsi="Calibri" w:cs="Calibri"/>
          <w:i/>
          <w:iCs/>
          <w:noProof/>
          <w:kern w:val="0"/>
          <w:szCs w:val="24"/>
        </w:rPr>
        <w:t>Ekonomirapporten, oktober 2019. Om kommunernas och regionernas ekonomi.</w:t>
      </w:r>
      <w:r w:rsidRPr="00682763">
        <w:rPr>
          <w:rFonts w:ascii="Calibri" w:hAnsi="Calibri" w:cs="Calibri"/>
          <w:noProof/>
          <w:kern w:val="0"/>
          <w:szCs w:val="24"/>
        </w:rPr>
        <w:t xml:space="preserve"> Sveriges Kommuner och Regioner.</w:t>
      </w:r>
    </w:p>
    <w:p w14:paraId="299E51F3"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Sousa‐Ribeiro, M., Bernhard‐Oettel, C., Sverke, M., &amp; Westerlund, H. (2021). Health‐ and age‐related workplace factors as predictors of preferred, expected, and actual retirement timing: Findings from a swedish cohort study. </w:t>
      </w:r>
      <w:r w:rsidRPr="00682763">
        <w:rPr>
          <w:rFonts w:ascii="Calibri" w:hAnsi="Calibri" w:cs="Calibri"/>
          <w:i/>
          <w:iCs/>
          <w:noProof/>
          <w:kern w:val="0"/>
          <w:szCs w:val="24"/>
        </w:rPr>
        <w:t>International Journal of Environmental Research and Public Health</w:t>
      </w:r>
      <w:r w:rsidRPr="00682763">
        <w:rPr>
          <w:rFonts w:ascii="Calibri" w:hAnsi="Calibri" w:cs="Calibri"/>
          <w:noProof/>
          <w:kern w:val="0"/>
          <w:szCs w:val="24"/>
        </w:rPr>
        <w:t xml:space="preserve">, </w:t>
      </w:r>
      <w:r w:rsidRPr="00682763">
        <w:rPr>
          <w:rFonts w:ascii="Calibri" w:hAnsi="Calibri" w:cs="Calibri"/>
          <w:i/>
          <w:iCs/>
          <w:noProof/>
          <w:kern w:val="0"/>
          <w:szCs w:val="24"/>
        </w:rPr>
        <w:t>18</w:t>
      </w:r>
      <w:r w:rsidRPr="00682763">
        <w:rPr>
          <w:rFonts w:ascii="Calibri" w:hAnsi="Calibri" w:cs="Calibri"/>
          <w:noProof/>
          <w:kern w:val="0"/>
          <w:szCs w:val="24"/>
        </w:rPr>
        <w:t>(5), 1–23. https://doi.org/10.3390/ijerph18052746</w:t>
      </w:r>
    </w:p>
    <w:p w14:paraId="39BAB0D1"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lastRenderedPageBreak/>
        <w:t xml:space="preserve">Stanfors, M., &amp; Jacobs, J. (2023). Unpaid caregiving and stress among older working-age men and women in Sweden. </w:t>
      </w:r>
      <w:r w:rsidRPr="00682763">
        <w:rPr>
          <w:rFonts w:ascii="Calibri" w:hAnsi="Calibri" w:cs="Calibri"/>
          <w:i/>
          <w:iCs/>
          <w:noProof/>
          <w:kern w:val="0"/>
          <w:szCs w:val="24"/>
        </w:rPr>
        <w:t>SSM - Population Health</w:t>
      </w:r>
      <w:r w:rsidRPr="00682763">
        <w:rPr>
          <w:rFonts w:ascii="Calibri" w:hAnsi="Calibri" w:cs="Calibri"/>
          <w:noProof/>
          <w:kern w:val="0"/>
          <w:szCs w:val="24"/>
        </w:rPr>
        <w:t xml:space="preserve">, </w:t>
      </w:r>
      <w:r w:rsidRPr="00682763">
        <w:rPr>
          <w:rFonts w:ascii="Calibri" w:hAnsi="Calibri" w:cs="Calibri"/>
          <w:i/>
          <w:iCs/>
          <w:noProof/>
          <w:kern w:val="0"/>
          <w:szCs w:val="24"/>
        </w:rPr>
        <w:t>23</w:t>
      </w:r>
      <w:r w:rsidRPr="00682763">
        <w:rPr>
          <w:rFonts w:ascii="Calibri" w:hAnsi="Calibri" w:cs="Calibri"/>
          <w:noProof/>
          <w:kern w:val="0"/>
          <w:szCs w:val="24"/>
        </w:rPr>
        <w:t>(June), 101458. https://doi.org/10.1016/j.ssmph.2023.101458</w:t>
      </w:r>
    </w:p>
    <w:p w14:paraId="4A1E1E16"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Szebehely, M., Stranz, A., &amp; Strandell, R. (2017). </w:t>
      </w:r>
      <w:r w:rsidRPr="00682763">
        <w:rPr>
          <w:rFonts w:ascii="Calibri" w:hAnsi="Calibri" w:cs="Calibri"/>
          <w:i/>
          <w:iCs/>
          <w:noProof/>
          <w:kern w:val="0"/>
          <w:szCs w:val="24"/>
        </w:rPr>
        <w:t>Vem ska arbeta i framtidens äldreomsorg? (Who will Work in the Elderly Care of the Future?)</w:t>
      </w:r>
      <w:r w:rsidRPr="00682763">
        <w:rPr>
          <w:rFonts w:ascii="Calibri" w:hAnsi="Calibri" w:cs="Calibri"/>
          <w:noProof/>
          <w:kern w:val="0"/>
          <w:szCs w:val="24"/>
        </w:rPr>
        <w:t>. 1–50. https://www.socarb.su.se/polopoly_fs/1.320035.1486983623!/menu/standard/file/Slutversion rapport feb13.pdf</w:t>
      </w:r>
    </w:p>
    <w:p w14:paraId="00751BDF"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Szebehely, M., Ulmanen, P., &amp; Sand, A. (2014). Att ge omsorg mitt i livet : hur påverkar det arbete och försörjning ? </w:t>
      </w:r>
      <w:r w:rsidRPr="00682763">
        <w:rPr>
          <w:rFonts w:ascii="Calibri" w:hAnsi="Calibri" w:cs="Calibri"/>
          <w:i/>
          <w:iCs/>
          <w:noProof/>
          <w:kern w:val="0"/>
          <w:szCs w:val="24"/>
        </w:rPr>
        <w:t>Department of Social Work, Stockholm University</w:t>
      </w:r>
      <w:r w:rsidRPr="00682763">
        <w:rPr>
          <w:rFonts w:ascii="Calibri" w:hAnsi="Calibri" w:cs="Calibri"/>
          <w:noProof/>
          <w:kern w:val="0"/>
          <w:szCs w:val="24"/>
        </w:rPr>
        <w:t>. http://www.diva-portal.org/smash/get/diva2:684124/FULLTEXT01.pdf</w:t>
      </w:r>
    </w:p>
    <w:p w14:paraId="27BAE060"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kern w:val="0"/>
          <w:szCs w:val="24"/>
        </w:rPr>
      </w:pPr>
      <w:r w:rsidRPr="00682763">
        <w:rPr>
          <w:rFonts w:ascii="Calibri" w:hAnsi="Calibri" w:cs="Calibri"/>
          <w:noProof/>
          <w:kern w:val="0"/>
          <w:szCs w:val="24"/>
        </w:rPr>
        <w:t xml:space="preserve">The Swedish Pensions Agency. (2022). </w:t>
      </w:r>
      <w:r w:rsidRPr="00682763">
        <w:rPr>
          <w:rFonts w:ascii="Calibri" w:hAnsi="Calibri" w:cs="Calibri"/>
          <w:i/>
          <w:iCs/>
          <w:noProof/>
          <w:kern w:val="0"/>
          <w:szCs w:val="24"/>
        </w:rPr>
        <w:t>Pensionsåldrar och arbetslivets längd. Svar på regleringsbrevsuppdrag 2023</w:t>
      </w:r>
      <w:r w:rsidRPr="00682763">
        <w:rPr>
          <w:rFonts w:ascii="Calibri" w:hAnsi="Calibri" w:cs="Calibri"/>
          <w:noProof/>
          <w:kern w:val="0"/>
          <w:szCs w:val="24"/>
        </w:rPr>
        <w:t>. https://www.pensionsmyndigheten.se/statistik/publikationer/pensionsaldrar-arbetslivets-langd-2022/</w:t>
      </w:r>
    </w:p>
    <w:p w14:paraId="473E9CB7" w14:textId="77777777" w:rsidR="00682763" w:rsidRPr="00682763" w:rsidRDefault="00682763" w:rsidP="00682763">
      <w:pPr>
        <w:widowControl w:val="0"/>
        <w:autoSpaceDE w:val="0"/>
        <w:autoSpaceDN w:val="0"/>
        <w:adjustRightInd w:val="0"/>
        <w:spacing w:line="240" w:lineRule="auto"/>
        <w:ind w:left="480" w:hanging="480"/>
        <w:rPr>
          <w:rFonts w:ascii="Calibri" w:hAnsi="Calibri" w:cs="Calibri"/>
          <w:noProof/>
        </w:rPr>
      </w:pPr>
      <w:r w:rsidRPr="00682763">
        <w:rPr>
          <w:rFonts w:ascii="Calibri" w:hAnsi="Calibri" w:cs="Calibri"/>
          <w:noProof/>
          <w:kern w:val="0"/>
          <w:szCs w:val="24"/>
        </w:rPr>
        <w:t xml:space="preserve">The Swedish work environment authority. (2016). </w:t>
      </w:r>
      <w:r w:rsidRPr="00682763">
        <w:rPr>
          <w:rFonts w:ascii="Calibri" w:hAnsi="Calibri" w:cs="Calibri"/>
          <w:i/>
          <w:iCs/>
          <w:noProof/>
          <w:kern w:val="0"/>
          <w:szCs w:val="24"/>
        </w:rPr>
        <w:t>Healthy workplaces for women and men of all ages. A review (Friska arbetsplatser för kvinnor och män i alla åldrar. Kunskapssammanställning)</w:t>
      </w:r>
      <w:r w:rsidRPr="00682763">
        <w:rPr>
          <w:rFonts w:ascii="Calibri" w:hAnsi="Calibri" w:cs="Calibri"/>
          <w:noProof/>
          <w:kern w:val="0"/>
          <w:szCs w:val="24"/>
        </w:rPr>
        <w:t>. https://doi.org/ISSN: 1650-3171</w:t>
      </w:r>
    </w:p>
    <w:p w14:paraId="74DB3625" w14:textId="2FE575FF" w:rsidR="006610BB" w:rsidRPr="006610BB" w:rsidRDefault="006610BB" w:rsidP="00347BB2">
      <w:pPr>
        <w:tabs>
          <w:tab w:val="left" w:pos="11057"/>
        </w:tabs>
        <w:rPr>
          <w:rFonts w:cstheme="minorHAnsi"/>
          <w:b/>
          <w:bCs/>
          <w:lang w:val="en-US"/>
        </w:rPr>
      </w:pPr>
      <w:r>
        <w:rPr>
          <w:rFonts w:cstheme="minorHAnsi"/>
          <w:b/>
          <w:bCs/>
          <w:lang w:val="en-US"/>
        </w:rPr>
        <w:fldChar w:fldCharType="end"/>
      </w:r>
    </w:p>
    <w:sectPr w:rsidR="006610BB" w:rsidRPr="006610BB" w:rsidSect="00585727">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EC08E" w14:textId="77777777" w:rsidR="00332205" w:rsidRDefault="00332205" w:rsidP="00842923">
      <w:pPr>
        <w:spacing w:after="0" w:line="240" w:lineRule="auto"/>
      </w:pPr>
      <w:r>
        <w:separator/>
      </w:r>
    </w:p>
  </w:endnote>
  <w:endnote w:type="continuationSeparator" w:id="0">
    <w:p w14:paraId="5562079D" w14:textId="77777777" w:rsidR="00332205" w:rsidRDefault="00332205" w:rsidP="0084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136285"/>
      <w:docPartObj>
        <w:docPartGallery w:val="Page Numbers (Bottom of Page)"/>
        <w:docPartUnique/>
      </w:docPartObj>
    </w:sdtPr>
    <w:sdtEndPr/>
    <w:sdtContent>
      <w:p w14:paraId="6A94DA4C" w14:textId="1E8A83FC" w:rsidR="003A2ADA" w:rsidRDefault="003A2ADA">
        <w:pPr>
          <w:pStyle w:val="Sidfot"/>
          <w:jc w:val="right"/>
        </w:pPr>
        <w:r>
          <w:fldChar w:fldCharType="begin"/>
        </w:r>
        <w:r>
          <w:instrText>PAGE   \* MERGEFORMAT</w:instrText>
        </w:r>
        <w:r>
          <w:fldChar w:fldCharType="separate"/>
        </w:r>
        <w:r w:rsidR="00833014">
          <w:rPr>
            <w:noProof/>
          </w:rPr>
          <w:t>11</w:t>
        </w:r>
        <w:r>
          <w:fldChar w:fldCharType="end"/>
        </w:r>
      </w:p>
    </w:sdtContent>
  </w:sdt>
  <w:p w14:paraId="323758C6" w14:textId="77777777" w:rsidR="003A2ADA" w:rsidRDefault="003A2A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252A0" w14:textId="77777777" w:rsidR="00332205" w:rsidRDefault="00332205" w:rsidP="00842923">
      <w:pPr>
        <w:spacing w:after="0" w:line="240" w:lineRule="auto"/>
      </w:pPr>
      <w:r>
        <w:separator/>
      </w:r>
    </w:p>
  </w:footnote>
  <w:footnote w:type="continuationSeparator" w:id="0">
    <w:p w14:paraId="4CDBA571" w14:textId="77777777" w:rsidR="00332205" w:rsidRDefault="00332205" w:rsidP="0084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2CA22" w14:textId="6AD599F9" w:rsidR="0075126A" w:rsidRDefault="0075126A">
    <w:pPr>
      <w:pStyle w:val="Sidhuvud"/>
    </w:pPr>
    <w:r>
      <w:rPr>
        <w:noProof/>
      </w:rPr>
      <w:pict w14:anchorId="75B98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26407" o:spid="_x0000_s10242"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D3F0" w14:textId="7325E478" w:rsidR="0075126A" w:rsidRPr="0075126A" w:rsidRDefault="0075126A">
    <w:pPr>
      <w:pStyle w:val="Sidhuvud"/>
      <w:rPr>
        <w:lang w:val="en-US"/>
      </w:rPr>
    </w:pPr>
    <w:r>
      <w:rPr>
        <w:noProof/>
      </w:rPr>
      <w:pict w14:anchorId="777CB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26408" o:spid="_x0000_s10243" type="#_x0000_t136" style="position:absolute;margin-left:0;margin-top:0;width:397.7pt;height:238.6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r w:rsidRPr="0075126A">
      <w:rPr>
        <w:lang w:val="en-US"/>
      </w:rPr>
      <w:t>Please, do not cite or s</w:t>
    </w:r>
    <w:r>
      <w:rPr>
        <w:lang w:val="en-US"/>
      </w:rPr>
      <w:t>hare.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7936" w14:textId="7910D9CF" w:rsidR="0075126A" w:rsidRDefault="0075126A">
    <w:pPr>
      <w:pStyle w:val="Sidhuvud"/>
    </w:pPr>
    <w:r>
      <w:rPr>
        <w:noProof/>
      </w:rPr>
      <w:pict w14:anchorId="296DE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1726406" o:spid="_x0000_s10241"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0DA"/>
    <w:multiLevelType w:val="hybridMultilevel"/>
    <w:tmpl w:val="5E40156A"/>
    <w:lvl w:ilvl="0" w:tplc="0ACA545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370A63"/>
    <w:multiLevelType w:val="hybridMultilevel"/>
    <w:tmpl w:val="47363DF6"/>
    <w:lvl w:ilvl="0" w:tplc="AEB010A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0C66B9"/>
    <w:multiLevelType w:val="hybridMultilevel"/>
    <w:tmpl w:val="31C2447E"/>
    <w:lvl w:ilvl="0" w:tplc="3574EE7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0D3667"/>
    <w:multiLevelType w:val="hybridMultilevel"/>
    <w:tmpl w:val="B6DE06CE"/>
    <w:lvl w:ilvl="0" w:tplc="45DC90C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220154">
    <w:abstractNumId w:val="0"/>
  </w:num>
  <w:num w:numId="2" w16cid:durableId="902256887">
    <w:abstractNumId w:val="3"/>
  </w:num>
  <w:num w:numId="3" w16cid:durableId="1705591395">
    <w:abstractNumId w:val="1"/>
  </w:num>
  <w:num w:numId="4" w16cid:durableId="501311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1304"/>
  <w:hyphenationZone w:val="425"/>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1MjUwMrWwNDc2tDBV0lEKTi0uzszPAykwtqwFAOAC5wMtAAAA"/>
  </w:docVars>
  <w:rsids>
    <w:rsidRoot w:val="00222EDA"/>
    <w:rsid w:val="000002A2"/>
    <w:rsid w:val="00007C0F"/>
    <w:rsid w:val="000116BC"/>
    <w:rsid w:val="00012720"/>
    <w:rsid w:val="0002063E"/>
    <w:rsid w:val="00046CC4"/>
    <w:rsid w:val="00051EB5"/>
    <w:rsid w:val="000520C8"/>
    <w:rsid w:val="000543F6"/>
    <w:rsid w:val="00062B2A"/>
    <w:rsid w:val="000726FC"/>
    <w:rsid w:val="00080A49"/>
    <w:rsid w:val="00080C45"/>
    <w:rsid w:val="000811E7"/>
    <w:rsid w:val="000854F3"/>
    <w:rsid w:val="0008636F"/>
    <w:rsid w:val="000B028B"/>
    <w:rsid w:val="000B132E"/>
    <w:rsid w:val="000B2C71"/>
    <w:rsid w:val="000B7407"/>
    <w:rsid w:val="000C3B62"/>
    <w:rsid w:val="000D1913"/>
    <w:rsid w:val="000E08A8"/>
    <w:rsid w:val="000E2B3F"/>
    <w:rsid w:val="000E5DE6"/>
    <w:rsid w:val="000F279C"/>
    <w:rsid w:val="000F7FED"/>
    <w:rsid w:val="00100DCA"/>
    <w:rsid w:val="001042D3"/>
    <w:rsid w:val="00111F47"/>
    <w:rsid w:val="00114FCD"/>
    <w:rsid w:val="001226AB"/>
    <w:rsid w:val="00127750"/>
    <w:rsid w:val="00131764"/>
    <w:rsid w:val="00131A43"/>
    <w:rsid w:val="00133EF3"/>
    <w:rsid w:val="001351FD"/>
    <w:rsid w:val="001467F0"/>
    <w:rsid w:val="00152993"/>
    <w:rsid w:val="0015404C"/>
    <w:rsid w:val="00163203"/>
    <w:rsid w:val="00165835"/>
    <w:rsid w:val="00172093"/>
    <w:rsid w:val="00192566"/>
    <w:rsid w:val="001A00E4"/>
    <w:rsid w:val="001B19A1"/>
    <w:rsid w:val="001B3517"/>
    <w:rsid w:val="001B525D"/>
    <w:rsid w:val="001B61CF"/>
    <w:rsid w:val="001C7FC3"/>
    <w:rsid w:val="001E5F72"/>
    <w:rsid w:val="001F087D"/>
    <w:rsid w:val="001F47D4"/>
    <w:rsid w:val="002020E9"/>
    <w:rsid w:val="00204088"/>
    <w:rsid w:val="0020484A"/>
    <w:rsid w:val="002050D5"/>
    <w:rsid w:val="00207535"/>
    <w:rsid w:val="00220024"/>
    <w:rsid w:val="00221524"/>
    <w:rsid w:val="00222EDA"/>
    <w:rsid w:val="00223E95"/>
    <w:rsid w:val="002333FA"/>
    <w:rsid w:val="00236AA8"/>
    <w:rsid w:val="00242C68"/>
    <w:rsid w:val="00247674"/>
    <w:rsid w:val="002477D3"/>
    <w:rsid w:val="00247813"/>
    <w:rsid w:val="00251A6A"/>
    <w:rsid w:val="0025211C"/>
    <w:rsid w:val="00254CDE"/>
    <w:rsid w:val="00260BEA"/>
    <w:rsid w:val="00262BB8"/>
    <w:rsid w:val="00263F3E"/>
    <w:rsid w:val="002A6DB6"/>
    <w:rsid w:val="002A726E"/>
    <w:rsid w:val="002B066A"/>
    <w:rsid w:val="002B0A0B"/>
    <w:rsid w:val="002B27EE"/>
    <w:rsid w:val="002B42DC"/>
    <w:rsid w:val="002D6F60"/>
    <w:rsid w:val="002E7932"/>
    <w:rsid w:val="002F25DC"/>
    <w:rsid w:val="002F5661"/>
    <w:rsid w:val="003002D0"/>
    <w:rsid w:val="003101EB"/>
    <w:rsid w:val="00316388"/>
    <w:rsid w:val="00330948"/>
    <w:rsid w:val="00332205"/>
    <w:rsid w:val="00332A0C"/>
    <w:rsid w:val="0034374A"/>
    <w:rsid w:val="00346EDE"/>
    <w:rsid w:val="00347BB2"/>
    <w:rsid w:val="00351BFA"/>
    <w:rsid w:val="00355CA2"/>
    <w:rsid w:val="00362E95"/>
    <w:rsid w:val="0036686E"/>
    <w:rsid w:val="00374C98"/>
    <w:rsid w:val="003802B6"/>
    <w:rsid w:val="0038348B"/>
    <w:rsid w:val="00385950"/>
    <w:rsid w:val="003A150B"/>
    <w:rsid w:val="003A1DB9"/>
    <w:rsid w:val="003A2ADA"/>
    <w:rsid w:val="003A2B56"/>
    <w:rsid w:val="003A2B6C"/>
    <w:rsid w:val="003A6D14"/>
    <w:rsid w:val="003B50FD"/>
    <w:rsid w:val="003B6DBF"/>
    <w:rsid w:val="003C54EC"/>
    <w:rsid w:val="003C7797"/>
    <w:rsid w:val="003D34AB"/>
    <w:rsid w:val="003D403D"/>
    <w:rsid w:val="003D4AB6"/>
    <w:rsid w:val="003D505B"/>
    <w:rsid w:val="003D5101"/>
    <w:rsid w:val="003E4194"/>
    <w:rsid w:val="003E59DB"/>
    <w:rsid w:val="003F1B17"/>
    <w:rsid w:val="003F3A0B"/>
    <w:rsid w:val="003F7544"/>
    <w:rsid w:val="004019C2"/>
    <w:rsid w:val="004124AD"/>
    <w:rsid w:val="00413C33"/>
    <w:rsid w:val="0041594E"/>
    <w:rsid w:val="00420C45"/>
    <w:rsid w:val="00421330"/>
    <w:rsid w:val="004214C0"/>
    <w:rsid w:val="00426A95"/>
    <w:rsid w:val="00432F33"/>
    <w:rsid w:val="00433E00"/>
    <w:rsid w:val="00437114"/>
    <w:rsid w:val="00440D7D"/>
    <w:rsid w:val="00451D6C"/>
    <w:rsid w:val="0045618F"/>
    <w:rsid w:val="00461BDD"/>
    <w:rsid w:val="00462350"/>
    <w:rsid w:val="00462E68"/>
    <w:rsid w:val="004733DD"/>
    <w:rsid w:val="00475B49"/>
    <w:rsid w:val="0047753D"/>
    <w:rsid w:val="004831C5"/>
    <w:rsid w:val="00493D2A"/>
    <w:rsid w:val="00495020"/>
    <w:rsid w:val="00497683"/>
    <w:rsid w:val="00497738"/>
    <w:rsid w:val="004A4EF6"/>
    <w:rsid w:val="004A76DE"/>
    <w:rsid w:val="004B20B4"/>
    <w:rsid w:val="004C4367"/>
    <w:rsid w:val="004C7116"/>
    <w:rsid w:val="004C7A30"/>
    <w:rsid w:val="004D1D35"/>
    <w:rsid w:val="004E0FD3"/>
    <w:rsid w:val="004E55EB"/>
    <w:rsid w:val="004E6D65"/>
    <w:rsid w:val="0051237A"/>
    <w:rsid w:val="00513CBC"/>
    <w:rsid w:val="005156F2"/>
    <w:rsid w:val="00530665"/>
    <w:rsid w:val="005361C8"/>
    <w:rsid w:val="00541615"/>
    <w:rsid w:val="005452FE"/>
    <w:rsid w:val="00546612"/>
    <w:rsid w:val="0055792F"/>
    <w:rsid w:val="00557A5F"/>
    <w:rsid w:val="00564E28"/>
    <w:rsid w:val="00570FFD"/>
    <w:rsid w:val="00582005"/>
    <w:rsid w:val="00584323"/>
    <w:rsid w:val="00585727"/>
    <w:rsid w:val="00586E74"/>
    <w:rsid w:val="005A1038"/>
    <w:rsid w:val="005A272B"/>
    <w:rsid w:val="005A516E"/>
    <w:rsid w:val="005B5DE5"/>
    <w:rsid w:val="005C064D"/>
    <w:rsid w:val="005C1298"/>
    <w:rsid w:val="005C4C6A"/>
    <w:rsid w:val="005C5985"/>
    <w:rsid w:val="005D07DE"/>
    <w:rsid w:val="005D190D"/>
    <w:rsid w:val="005D2808"/>
    <w:rsid w:val="005E17E9"/>
    <w:rsid w:val="005F196F"/>
    <w:rsid w:val="005F7587"/>
    <w:rsid w:val="006120EF"/>
    <w:rsid w:val="00612919"/>
    <w:rsid w:val="00625B64"/>
    <w:rsid w:val="00626A91"/>
    <w:rsid w:val="0063784E"/>
    <w:rsid w:val="0063787B"/>
    <w:rsid w:val="00641556"/>
    <w:rsid w:val="00642D7D"/>
    <w:rsid w:val="006501B9"/>
    <w:rsid w:val="0065317F"/>
    <w:rsid w:val="00655693"/>
    <w:rsid w:val="0065702A"/>
    <w:rsid w:val="006610BB"/>
    <w:rsid w:val="00661486"/>
    <w:rsid w:val="00663C3D"/>
    <w:rsid w:val="00671B4B"/>
    <w:rsid w:val="00671C87"/>
    <w:rsid w:val="006731E2"/>
    <w:rsid w:val="006805DF"/>
    <w:rsid w:val="00682763"/>
    <w:rsid w:val="0068639E"/>
    <w:rsid w:val="00691AE7"/>
    <w:rsid w:val="00693A29"/>
    <w:rsid w:val="006A35C3"/>
    <w:rsid w:val="006B33B8"/>
    <w:rsid w:val="006C0E67"/>
    <w:rsid w:val="006C5D18"/>
    <w:rsid w:val="006C63ED"/>
    <w:rsid w:val="006D22A6"/>
    <w:rsid w:val="006E3E2F"/>
    <w:rsid w:val="006F4F5A"/>
    <w:rsid w:val="006F5109"/>
    <w:rsid w:val="00704773"/>
    <w:rsid w:val="00704BD2"/>
    <w:rsid w:val="00710001"/>
    <w:rsid w:val="00712AD9"/>
    <w:rsid w:val="00732006"/>
    <w:rsid w:val="007348F4"/>
    <w:rsid w:val="00735EB0"/>
    <w:rsid w:val="00736A15"/>
    <w:rsid w:val="007407BF"/>
    <w:rsid w:val="0074120A"/>
    <w:rsid w:val="007428AA"/>
    <w:rsid w:val="00742A54"/>
    <w:rsid w:val="0075126A"/>
    <w:rsid w:val="007513FE"/>
    <w:rsid w:val="00767EE1"/>
    <w:rsid w:val="00773366"/>
    <w:rsid w:val="0078560B"/>
    <w:rsid w:val="00785CD8"/>
    <w:rsid w:val="0079349A"/>
    <w:rsid w:val="007936A6"/>
    <w:rsid w:val="007966D5"/>
    <w:rsid w:val="007A635E"/>
    <w:rsid w:val="007B568A"/>
    <w:rsid w:val="007D3417"/>
    <w:rsid w:val="00804F37"/>
    <w:rsid w:val="00814E09"/>
    <w:rsid w:val="00817A3B"/>
    <w:rsid w:val="00833014"/>
    <w:rsid w:val="00833477"/>
    <w:rsid w:val="008424A7"/>
    <w:rsid w:val="00842923"/>
    <w:rsid w:val="008476C1"/>
    <w:rsid w:val="008478C1"/>
    <w:rsid w:val="0085466B"/>
    <w:rsid w:val="00854E21"/>
    <w:rsid w:val="00857B09"/>
    <w:rsid w:val="0086458F"/>
    <w:rsid w:val="008718D6"/>
    <w:rsid w:val="00873364"/>
    <w:rsid w:val="0087425C"/>
    <w:rsid w:val="008750C6"/>
    <w:rsid w:val="00896D17"/>
    <w:rsid w:val="008A2B63"/>
    <w:rsid w:val="008C1F12"/>
    <w:rsid w:val="008C2B3A"/>
    <w:rsid w:val="008C531D"/>
    <w:rsid w:val="008C5BBB"/>
    <w:rsid w:val="008E3C50"/>
    <w:rsid w:val="008F1B40"/>
    <w:rsid w:val="008F3688"/>
    <w:rsid w:val="00903451"/>
    <w:rsid w:val="009051EF"/>
    <w:rsid w:val="00906CBE"/>
    <w:rsid w:val="0091304F"/>
    <w:rsid w:val="009171E6"/>
    <w:rsid w:val="0091786D"/>
    <w:rsid w:val="00917BAD"/>
    <w:rsid w:val="009200F7"/>
    <w:rsid w:val="00923E22"/>
    <w:rsid w:val="00933DA5"/>
    <w:rsid w:val="00943C85"/>
    <w:rsid w:val="00947E85"/>
    <w:rsid w:val="009658A5"/>
    <w:rsid w:val="00971858"/>
    <w:rsid w:val="00973876"/>
    <w:rsid w:val="00975C8B"/>
    <w:rsid w:val="00975DA2"/>
    <w:rsid w:val="009848F7"/>
    <w:rsid w:val="009B07F4"/>
    <w:rsid w:val="009B2A9B"/>
    <w:rsid w:val="009B4645"/>
    <w:rsid w:val="009C0199"/>
    <w:rsid w:val="009D24D4"/>
    <w:rsid w:val="009D4E6A"/>
    <w:rsid w:val="009E1BDB"/>
    <w:rsid w:val="009F5F49"/>
    <w:rsid w:val="00A072A6"/>
    <w:rsid w:val="00A120D6"/>
    <w:rsid w:val="00A1644D"/>
    <w:rsid w:val="00A21C2A"/>
    <w:rsid w:val="00A220DF"/>
    <w:rsid w:val="00A26791"/>
    <w:rsid w:val="00A34653"/>
    <w:rsid w:val="00A41BED"/>
    <w:rsid w:val="00A44185"/>
    <w:rsid w:val="00A441D1"/>
    <w:rsid w:val="00A5420D"/>
    <w:rsid w:val="00A64F1D"/>
    <w:rsid w:val="00A70337"/>
    <w:rsid w:val="00A71231"/>
    <w:rsid w:val="00A84D48"/>
    <w:rsid w:val="00A878AA"/>
    <w:rsid w:val="00A90E72"/>
    <w:rsid w:val="00A92816"/>
    <w:rsid w:val="00A92BCC"/>
    <w:rsid w:val="00AB33A1"/>
    <w:rsid w:val="00AB3E39"/>
    <w:rsid w:val="00AC6B1E"/>
    <w:rsid w:val="00AD03F6"/>
    <w:rsid w:val="00AD402B"/>
    <w:rsid w:val="00AD5D36"/>
    <w:rsid w:val="00AE412C"/>
    <w:rsid w:val="00AE445D"/>
    <w:rsid w:val="00AE5A8C"/>
    <w:rsid w:val="00B028C6"/>
    <w:rsid w:val="00B029D7"/>
    <w:rsid w:val="00B167ED"/>
    <w:rsid w:val="00B173A5"/>
    <w:rsid w:val="00B21F21"/>
    <w:rsid w:val="00B23FDD"/>
    <w:rsid w:val="00B33A2E"/>
    <w:rsid w:val="00B4240A"/>
    <w:rsid w:val="00B424DA"/>
    <w:rsid w:val="00B52F45"/>
    <w:rsid w:val="00B554B5"/>
    <w:rsid w:val="00B55943"/>
    <w:rsid w:val="00B56013"/>
    <w:rsid w:val="00B572C4"/>
    <w:rsid w:val="00B63BEF"/>
    <w:rsid w:val="00B655AA"/>
    <w:rsid w:val="00B65BCC"/>
    <w:rsid w:val="00B71F46"/>
    <w:rsid w:val="00B772A5"/>
    <w:rsid w:val="00B821F2"/>
    <w:rsid w:val="00B90FFA"/>
    <w:rsid w:val="00B91B10"/>
    <w:rsid w:val="00B93E9A"/>
    <w:rsid w:val="00B9457F"/>
    <w:rsid w:val="00B9600A"/>
    <w:rsid w:val="00B97A37"/>
    <w:rsid w:val="00BA22E0"/>
    <w:rsid w:val="00BA5608"/>
    <w:rsid w:val="00BA7CAB"/>
    <w:rsid w:val="00BB251C"/>
    <w:rsid w:val="00BB5D03"/>
    <w:rsid w:val="00BC3E49"/>
    <w:rsid w:val="00BD2B95"/>
    <w:rsid w:val="00BD372F"/>
    <w:rsid w:val="00BD72E6"/>
    <w:rsid w:val="00BE12D8"/>
    <w:rsid w:val="00BE244E"/>
    <w:rsid w:val="00BE2D80"/>
    <w:rsid w:val="00BE2F57"/>
    <w:rsid w:val="00BE4FA9"/>
    <w:rsid w:val="00BE716F"/>
    <w:rsid w:val="00BF0133"/>
    <w:rsid w:val="00BF6715"/>
    <w:rsid w:val="00BF67CE"/>
    <w:rsid w:val="00BF75C5"/>
    <w:rsid w:val="00C05DD2"/>
    <w:rsid w:val="00C0612A"/>
    <w:rsid w:val="00C06254"/>
    <w:rsid w:val="00C07C90"/>
    <w:rsid w:val="00C16F29"/>
    <w:rsid w:val="00C17E80"/>
    <w:rsid w:val="00C252FD"/>
    <w:rsid w:val="00C363A5"/>
    <w:rsid w:val="00C37EF8"/>
    <w:rsid w:val="00C4115E"/>
    <w:rsid w:val="00C42E08"/>
    <w:rsid w:val="00C4448C"/>
    <w:rsid w:val="00C4575D"/>
    <w:rsid w:val="00C53A44"/>
    <w:rsid w:val="00C61CC1"/>
    <w:rsid w:val="00C66DF2"/>
    <w:rsid w:val="00C67F0B"/>
    <w:rsid w:val="00C72F4E"/>
    <w:rsid w:val="00C76815"/>
    <w:rsid w:val="00C82A89"/>
    <w:rsid w:val="00C83E88"/>
    <w:rsid w:val="00C87DCA"/>
    <w:rsid w:val="00C93D34"/>
    <w:rsid w:val="00CA0E32"/>
    <w:rsid w:val="00CA752A"/>
    <w:rsid w:val="00CB777F"/>
    <w:rsid w:val="00CC145A"/>
    <w:rsid w:val="00CC16E4"/>
    <w:rsid w:val="00CC3FC2"/>
    <w:rsid w:val="00CC64CE"/>
    <w:rsid w:val="00CD73B8"/>
    <w:rsid w:val="00CE57C7"/>
    <w:rsid w:val="00CF1B9F"/>
    <w:rsid w:val="00CF2C57"/>
    <w:rsid w:val="00CF454B"/>
    <w:rsid w:val="00CF7F4E"/>
    <w:rsid w:val="00D01C2C"/>
    <w:rsid w:val="00D02085"/>
    <w:rsid w:val="00D02DA2"/>
    <w:rsid w:val="00D0757F"/>
    <w:rsid w:val="00D07AF4"/>
    <w:rsid w:val="00D24041"/>
    <w:rsid w:val="00D27A18"/>
    <w:rsid w:val="00D32669"/>
    <w:rsid w:val="00D34F5D"/>
    <w:rsid w:val="00D5182D"/>
    <w:rsid w:val="00D52683"/>
    <w:rsid w:val="00D54378"/>
    <w:rsid w:val="00D5787B"/>
    <w:rsid w:val="00D57A14"/>
    <w:rsid w:val="00D65B70"/>
    <w:rsid w:val="00D65D82"/>
    <w:rsid w:val="00D65D93"/>
    <w:rsid w:val="00D72312"/>
    <w:rsid w:val="00D74948"/>
    <w:rsid w:val="00D75D8A"/>
    <w:rsid w:val="00D76BB1"/>
    <w:rsid w:val="00D770A5"/>
    <w:rsid w:val="00D816EE"/>
    <w:rsid w:val="00D83015"/>
    <w:rsid w:val="00D85278"/>
    <w:rsid w:val="00D86844"/>
    <w:rsid w:val="00D9430B"/>
    <w:rsid w:val="00D945F0"/>
    <w:rsid w:val="00D95B6D"/>
    <w:rsid w:val="00D977F6"/>
    <w:rsid w:val="00DA1FD0"/>
    <w:rsid w:val="00DA395D"/>
    <w:rsid w:val="00DB6A0A"/>
    <w:rsid w:val="00DC1EEA"/>
    <w:rsid w:val="00DD0457"/>
    <w:rsid w:val="00DD0D4C"/>
    <w:rsid w:val="00DD2FB4"/>
    <w:rsid w:val="00DD4332"/>
    <w:rsid w:val="00DE76BA"/>
    <w:rsid w:val="00DF1BD9"/>
    <w:rsid w:val="00DF1E23"/>
    <w:rsid w:val="00DF44EF"/>
    <w:rsid w:val="00DF7C90"/>
    <w:rsid w:val="00E0637F"/>
    <w:rsid w:val="00E25CB4"/>
    <w:rsid w:val="00E27044"/>
    <w:rsid w:val="00E27F02"/>
    <w:rsid w:val="00E32367"/>
    <w:rsid w:val="00E32A59"/>
    <w:rsid w:val="00E34F92"/>
    <w:rsid w:val="00E40FB0"/>
    <w:rsid w:val="00E465F0"/>
    <w:rsid w:val="00E46F35"/>
    <w:rsid w:val="00E52FC0"/>
    <w:rsid w:val="00E55869"/>
    <w:rsid w:val="00E56878"/>
    <w:rsid w:val="00E6246F"/>
    <w:rsid w:val="00E66110"/>
    <w:rsid w:val="00E7692A"/>
    <w:rsid w:val="00E773F0"/>
    <w:rsid w:val="00E77A83"/>
    <w:rsid w:val="00E8626C"/>
    <w:rsid w:val="00E86C15"/>
    <w:rsid w:val="00E91BBD"/>
    <w:rsid w:val="00E92939"/>
    <w:rsid w:val="00E951DE"/>
    <w:rsid w:val="00EA116F"/>
    <w:rsid w:val="00EA4F0C"/>
    <w:rsid w:val="00EA6686"/>
    <w:rsid w:val="00EA6A4E"/>
    <w:rsid w:val="00EB66D9"/>
    <w:rsid w:val="00EC0849"/>
    <w:rsid w:val="00ED0FD0"/>
    <w:rsid w:val="00ED322B"/>
    <w:rsid w:val="00EE0C3B"/>
    <w:rsid w:val="00EE2DD5"/>
    <w:rsid w:val="00EE2E6D"/>
    <w:rsid w:val="00EE6109"/>
    <w:rsid w:val="00EF35C0"/>
    <w:rsid w:val="00EF6214"/>
    <w:rsid w:val="00F03F1C"/>
    <w:rsid w:val="00F10C68"/>
    <w:rsid w:val="00F1547E"/>
    <w:rsid w:val="00F32BB0"/>
    <w:rsid w:val="00F36A88"/>
    <w:rsid w:val="00F41757"/>
    <w:rsid w:val="00F46A63"/>
    <w:rsid w:val="00F51DC4"/>
    <w:rsid w:val="00F5546E"/>
    <w:rsid w:val="00F57A50"/>
    <w:rsid w:val="00F71C3C"/>
    <w:rsid w:val="00F8624A"/>
    <w:rsid w:val="00F92772"/>
    <w:rsid w:val="00FA3ACC"/>
    <w:rsid w:val="00FB454F"/>
    <w:rsid w:val="00FD4C18"/>
    <w:rsid w:val="00FD68A4"/>
    <w:rsid w:val="00FE4B03"/>
    <w:rsid w:val="00FE64DD"/>
    <w:rsid w:val="00FF6A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0199B320"/>
  <w15:docId w15:val="{07BDB65B-1D79-4B1C-AF4F-BFC2B4CC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67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ormal"/>
    <w:next w:val="Normal"/>
    <w:rsid w:val="0063787B"/>
    <w:pPr>
      <w:spacing w:after="0" w:line="240" w:lineRule="auto"/>
      <w:jc w:val="both"/>
    </w:pPr>
    <w:rPr>
      <w:rFonts w:ascii="Times New Roman" w:eastAsia="Times New Roman" w:hAnsi="Times New Roman" w:cs="Times New Roman"/>
      <w:kern w:val="0"/>
      <w:sz w:val="20"/>
      <w:lang w:val="en-US" w:eastAsia="sv-SE"/>
      <w14:ligatures w14:val="none"/>
    </w:rPr>
  </w:style>
  <w:style w:type="character" w:styleId="Hyperlnk">
    <w:name w:val="Hyperlink"/>
    <w:basedOn w:val="Standardstycketeckensnitt"/>
    <w:uiPriority w:val="99"/>
    <w:unhideWhenUsed/>
    <w:rsid w:val="004A4EF6"/>
    <w:rPr>
      <w:color w:val="0563C1" w:themeColor="hyperlink"/>
      <w:u w:val="single"/>
    </w:rPr>
  </w:style>
  <w:style w:type="character" w:customStyle="1" w:styleId="Olstomnmnande1">
    <w:name w:val="Olöst omnämnande1"/>
    <w:basedOn w:val="Standardstycketeckensnitt"/>
    <w:uiPriority w:val="99"/>
    <w:semiHidden/>
    <w:unhideWhenUsed/>
    <w:rsid w:val="004A4EF6"/>
    <w:rPr>
      <w:color w:val="605E5C"/>
      <w:shd w:val="clear" w:color="auto" w:fill="E1DFDD"/>
    </w:rPr>
  </w:style>
  <w:style w:type="character" w:styleId="Kommentarsreferens">
    <w:name w:val="annotation reference"/>
    <w:basedOn w:val="Standardstycketeckensnitt"/>
    <w:semiHidden/>
    <w:unhideWhenUsed/>
    <w:rsid w:val="00F32BB0"/>
    <w:rPr>
      <w:sz w:val="16"/>
      <w:szCs w:val="16"/>
    </w:rPr>
  </w:style>
  <w:style w:type="paragraph" w:styleId="Kommentarer">
    <w:name w:val="annotation text"/>
    <w:basedOn w:val="Normal"/>
    <w:link w:val="KommentarerChar"/>
    <w:unhideWhenUsed/>
    <w:rsid w:val="00F32BB0"/>
    <w:pPr>
      <w:spacing w:line="240" w:lineRule="auto"/>
    </w:pPr>
    <w:rPr>
      <w:sz w:val="20"/>
      <w:szCs w:val="20"/>
    </w:rPr>
  </w:style>
  <w:style w:type="character" w:customStyle="1" w:styleId="KommentarerChar">
    <w:name w:val="Kommentarer Char"/>
    <w:basedOn w:val="Standardstycketeckensnitt"/>
    <w:link w:val="Kommentarer"/>
    <w:rsid w:val="00F32BB0"/>
    <w:rPr>
      <w:sz w:val="20"/>
      <w:szCs w:val="20"/>
    </w:rPr>
  </w:style>
  <w:style w:type="paragraph" w:styleId="Kommentarsmne">
    <w:name w:val="annotation subject"/>
    <w:basedOn w:val="Kommentarer"/>
    <w:next w:val="Kommentarer"/>
    <w:link w:val="KommentarsmneChar"/>
    <w:uiPriority w:val="99"/>
    <w:semiHidden/>
    <w:unhideWhenUsed/>
    <w:rsid w:val="00F32BB0"/>
    <w:rPr>
      <w:b/>
      <w:bCs/>
    </w:rPr>
  </w:style>
  <w:style w:type="character" w:customStyle="1" w:styleId="KommentarsmneChar">
    <w:name w:val="Kommentarsämne Char"/>
    <w:basedOn w:val="KommentarerChar"/>
    <w:link w:val="Kommentarsmne"/>
    <w:uiPriority w:val="99"/>
    <w:semiHidden/>
    <w:rsid w:val="00F32BB0"/>
    <w:rPr>
      <w:b/>
      <w:bCs/>
      <w:sz w:val="20"/>
      <w:szCs w:val="20"/>
    </w:rPr>
  </w:style>
  <w:style w:type="character" w:styleId="AnvndHyperlnk">
    <w:name w:val="FollowedHyperlink"/>
    <w:basedOn w:val="Standardstycketeckensnitt"/>
    <w:uiPriority w:val="99"/>
    <w:semiHidden/>
    <w:unhideWhenUsed/>
    <w:rsid w:val="009200F7"/>
    <w:rPr>
      <w:color w:val="954F72" w:themeColor="followedHyperlink"/>
      <w:u w:val="single"/>
    </w:rPr>
  </w:style>
  <w:style w:type="paragraph" w:styleId="Ballongtext">
    <w:name w:val="Balloon Text"/>
    <w:basedOn w:val="Normal"/>
    <w:link w:val="BallongtextChar"/>
    <w:uiPriority w:val="99"/>
    <w:semiHidden/>
    <w:unhideWhenUsed/>
    <w:rsid w:val="005C4C6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C4C6A"/>
    <w:rPr>
      <w:rFonts w:ascii="Tahoma" w:hAnsi="Tahoma" w:cs="Tahoma"/>
      <w:sz w:val="16"/>
      <w:szCs w:val="16"/>
    </w:rPr>
  </w:style>
  <w:style w:type="paragraph" w:styleId="Revision">
    <w:name w:val="Revision"/>
    <w:hidden/>
    <w:uiPriority w:val="99"/>
    <w:semiHidden/>
    <w:rsid w:val="005361C8"/>
    <w:pPr>
      <w:spacing w:after="0" w:line="240" w:lineRule="auto"/>
    </w:pPr>
  </w:style>
  <w:style w:type="paragraph" w:styleId="Sidhuvud">
    <w:name w:val="header"/>
    <w:basedOn w:val="Normal"/>
    <w:link w:val="SidhuvudChar"/>
    <w:uiPriority w:val="99"/>
    <w:unhideWhenUsed/>
    <w:rsid w:val="0084292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42923"/>
  </w:style>
  <w:style w:type="paragraph" w:styleId="Sidfot">
    <w:name w:val="footer"/>
    <w:basedOn w:val="Normal"/>
    <w:link w:val="SidfotChar"/>
    <w:uiPriority w:val="99"/>
    <w:unhideWhenUsed/>
    <w:rsid w:val="0084292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42923"/>
  </w:style>
  <w:style w:type="paragraph" w:styleId="Normalwebb">
    <w:name w:val="Normal (Web)"/>
    <w:basedOn w:val="Normal"/>
    <w:uiPriority w:val="99"/>
    <w:semiHidden/>
    <w:unhideWhenUsed/>
    <w:rsid w:val="008C1F12"/>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561465">
      <w:bodyDiv w:val="1"/>
      <w:marLeft w:val="0"/>
      <w:marRight w:val="0"/>
      <w:marTop w:val="0"/>
      <w:marBottom w:val="0"/>
      <w:divBdr>
        <w:top w:val="none" w:sz="0" w:space="0" w:color="auto"/>
        <w:left w:val="none" w:sz="0" w:space="0" w:color="auto"/>
        <w:bottom w:val="none" w:sz="0" w:space="0" w:color="auto"/>
        <w:right w:val="none" w:sz="0" w:space="0" w:color="auto"/>
      </w:divBdr>
    </w:div>
    <w:div w:id="729156556">
      <w:bodyDiv w:val="1"/>
      <w:marLeft w:val="0"/>
      <w:marRight w:val="0"/>
      <w:marTop w:val="0"/>
      <w:marBottom w:val="0"/>
      <w:divBdr>
        <w:top w:val="none" w:sz="0" w:space="0" w:color="auto"/>
        <w:left w:val="none" w:sz="0" w:space="0" w:color="auto"/>
        <w:bottom w:val="none" w:sz="0" w:space="0" w:color="auto"/>
        <w:right w:val="none" w:sz="0" w:space="0" w:color="auto"/>
      </w:divBdr>
    </w:div>
    <w:div w:id="1131285809">
      <w:bodyDiv w:val="1"/>
      <w:marLeft w:val="0"/>
      <w:marRight w:val="0"/>
      <w:marTop w:val="0"/>
      <w:marBottom w:val="0"/>
      <w:divBdr>
        <w:top w:val="none" w:sz="0" w:space="0" w:color="auto"/>
        <w:left w:val="none" w:sz="0" w:space="0" w:color="auto"/>
        <w:bottom w:val="none" w:sz="0" w:space="0" w:color="auto"/>
        <w:right w:val="none" w:sz="0" w:space="0" w:color="auto"/>
      </w:divBdr>
    </w:div>
    <w:div w:id="157758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EFF99-19E6-408C-A289-501C4C9A4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13</Pages>
  <Words>16350</Words>
  <Characters>86656</Characters>
  <Application>Microsoft Office Word</Application>
  <DocSecurity>0</DocSecurity>
  <Lines>722</Lines>
  <Paragraphs>205</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102801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Nordlinder</dc:creator>
  <cp:lastModifiedBy>Carolina Nordlinder</cp:lastModifiedBy>
  <cp:revision>5</cp:revision>
  <dcterms:created xsi:type="dcterms:W3CDTF">2024-02-23T12:25:00Z</dcterms:created>
  <dcterms:modified xsi:type="dcterms:W3CDTF">2024-02-23T14:04:00Z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6b28f416-877e-3726-9dfe-5dfbb2173ff2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https://csl.mendeley.com/styles/561152611/vancouverAMAStyleCarolina</vt:lpwstr>
  </property>
  <property fmtid="{D5CDD505-2E9C-101B-9397-08002B2CF9AE}" pid="24" name="Mendeley Recent Style Name 9_1">
    <vt:lpwstr>Vancouver - Carolina  Nordlinder</vt:lpwstr>
  </property>
</Properties>
</file>